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A8E5EE" w14:textId="4E3440C4" w:rsidR="00B70FF7" w:rsidRDefault="00B70FF7" w:rsidP="00B70FF7">
      <w:pPr>
        <w:pStyle w:val="Header"/>
        <w:tabs>
          <w:tab w:val="right" w:pos="9900"/>
          <w:tab w:val="right" w:pos="13323"/>
        </w:tabs>
        <w:rPr>
          <w:sz w:val="24"/>
          <w:szCs w:val="24"/>
          <w:lang w:val="pt-BR"/>
        </w:rPr>
      </w:pPr>
      <w:bookmarkStart w:id="0" w:name="_Hlk494371635"/>
      <w:r>
        <w:rPr>
          <w:sz w:val="24"/>
          <w:szCs w:val="24"/>
          <w:lang w:val="pt-BR"/>
        </w:rPr>
        <w:t>3GPP TSG-RAN WG4 RAN4-8</w:t>
      </w:r>
      <w:r w:rsidR="00F756D2">
        <w:rPr>
          <w:sz w:val="24"/>
          <w:szCs w:val="24"/>
          <w:lang w:val="pt-BR"/>
        </w:rPr>
        <w:t>5</w:t>
      </w:r>
      <w:r>
        <w:rPr>
          <w:sz w:val="24"/>
          <w:szCs w:val="24"/>
          <w:lang w:val="pt-BR"/>
        </w:rPr>
        <w:tab/>
      </w:r>
      <w:r w:rsidR="008D67BB" w:rsidRPr="008D67BB">
        <w:rPr>
          <w:sz w:val="24"/>
          <w:szCs w:val="24"/>
          <w:lang w:val="pt-BR"/>
        </w:rPr>
        <w:t>R4-17</w:t>
      </w:r>
      <w:r w:rsidR="007C65D1" w:rsidRPr="007C65D1">
        <w:rPr>
          <w:sz w:val="24"/>
          <w:szCs w:val="24"/>
          <w:lang w:val="pt-BR"/>
        </w:rPr>
        <w:t>12725</w:t>
      </w:r>
    </w:p>
    <w:p w14:paraId="7D3C7696" w14:textId="6CFF4F38" w:rsidR="00664D98" w:rsidRDefault="00F756D2" w:rsidP="00B70FF7">
      <w:pPr>
        <w:pStyle w:val="BodyText"/>
        <w:rPr>
          <w:rFonts w:ascii="Arial" w:hAnsi="Arial"/>
          <w:b/>
          <w:noProof/>
          <w:lang w:val="en-GB"/>
        </w:rPr>
      </w:pPr>
      <w:r>
        <w:rPr>
          <w:rFonts w:ascii="Arial" w:hAnsi="Arial"/>
          <w:b/>
          <w:noProof/>
          <w:lang w:val="en-GB"/>
        </w:rPr>
        <w:t>Reno</w:t>
      </w:r>
      <w:r w:rsidR="00B70FF7" w:rsidRPr="00883873">
        <w:rPr>
          <w:rFonts w:ascii="Arial" w:hAnsi="Arial"/>
          <w:b/>
          <w:noProof/>
          <w:lang w:val="en-GB"/>
        </w:rPr>
        <w:t xml:space="preserve">, </w:t>
      </w:r>
      <w:r>
        <w:rPr>
          <w:rFonts w:ascii="Arial" w:hAnsi="Arial"/>
          <w:b/>
          <w:noProof/>
          <w:lang w:val="en-GB"/>
        </w:rPr>
        <w:t>United States</w:t>
      </w:r>
      <w:r w:rsidR="00B70FF7" w:rsidRPr="00883873">
        <w:rPr>
          <w:rFonts w:ascii="Arial" w:hAnsi="Arial"/>
          <w:b/>
          <w:noProof/>
          <w:lang w:val="en-GB"/>
        </w:rPr>
        <w:t xml:space="preserve">, </w:t>
      </w:r>
      <w:r>
        <w:rPr>
          <w:rFonts w:ascii="Arial" w:hAnsi="Arial"/>
          <w:b/>
          <w:noProof/>
          <w:lang w:val="en-GB"/>
        </w:rPr>
        <w:t xml:space="preserve">27 November </w:t>
      </w:r>
      <w:r w:rsidR="00B70FF7" w:rsidRPr="00883873">
        <w:rPr>
          <w:rFonts w:ascii="Arial" w:hAnsi="Arial"/>
          <w:b/>
          <w:noProof/>
          <w:lang w:val="en-GB"/>
        </w:rPr>
        <w:t>-</w:t>
      </w:r>
      <w:r>
        <w:rPr>
          <w:rFonts w:ascii="Arial" w:hAnsi="Arial"/>
          <w:b/>
          <w:noProof/>
          <w:lang w:val="en-GB"/>
        </w:rPr>
        <w:t xml:space="preserve"> 1</w:t>
      </w:r>
      <w:r w:rsidR="00B70FF7" w:rsidRPr="00883873">
        <w:rPr>
          <w:rFonts w:ascii="Arial" w:hAnsi="Arial"/>
          <w:b/>
          <w:noProof/>
          <w:lang w:val="en-GB"/>
        </w:rPr>
        <w:t xml:space="preserve"> </w:t>
      </w:r>
      <w:r>
        <w:rPr>
          <w:rFonts w:ascii="Arial" w:hAnsi="Arial"/>
          <w:b/>
          <w:noProof/>
          <w:lang w:val="en-GB"/>
        </w:rPr>
        <w:t>December</w:t>
      </w:r>
      <w:r w:rsidR="00B70FF7" w:rsidRPr="00883873">
        <w:rPr>
          <w:rFonts w:ascii="Arial" w:hAnsi="Arial"/>
          <w:b/>
          <w:noProof/>
          <w:lang w:val="en-GB"/>
        </w:rPr>
        <w:t>, 2017</w:t>
      </w:r>
      <w:bookmarkEnd w:id="0"/>
    </w:p>
    <w:p w14:paraId="5C2B74C7" w14:textId="77777777" w:rsidR="00B70FF7" w:rsidRDefault="00B70FF7" w:rsidP="00B70FF7">
      <w:pPr>
        <w:pStyle w:val="BodyText"/>
        <w:rPr>
          <w:b/>
          <w:noProof/>
          <w:lang w:eastAsia="zh-CN"/>
        </w:rPr>
      </w:pPr>
    </w:p>
    <w:p w14:paraId="139E5AA5" w14:textId="77777777" w:rsidR="00664D98" w:rsidRPr="00715255" w:rsidRDefault="00664D98" w:rsidP="00715255">
      <w:pPr>
        <w:pStyle w:val="BodyText"/>
        <w:spacing w:after="120"/>
        <w:rPr>
          <w:b/>
          <w:bCs/>
        </w:rPr>
      </w:pPr>
      <w:r w:rsidRPr="00492BD1">
        <w:rPr>
          <w:b/>
          <w:bCs/>
        </w:rPr>
        <w:t>Source:</w:t>
      </w:r>
      <w:r w:rsidRPr="005C2B50">
        <w:rPr>
          <w:b/>
        </w:rPr>
        <w:tab/>
      </w:r>
      <w:r w:rsidRPr="005C2B50">
        <w:rPr>
          <w:b/>
        </w:rPr>
        <w:tab/>
      </w:r>
      <w:r w:rsidRPr="00213FC6">
        <w:t xml:space="preserve">Ericsson </w:t>
      </w:r>
    </w:p>
    <w:p w14:paraId="3D08330D" w14:textId="1DC7F7F7" w:rsidR="00664D98" w:rsidRPr="0048212B" w:rsidRDefault="00664D98" w:rsidP="00664D98">
      <w:pPr>
        <w:pStyle w:val="BodyText"/>
        <w:spacing w:after="120"/>
        <w:ind w:left="720" w:hanging="720"/>
      </w:pPr>
      <w:r w:rsidRPr="00492BD1">
        <w:rPr>
          <w:b/>
          <w:bCs/>
        </w:rPr>
        <w:t>Title:</w:t>
      </w:r>
      <w:r w:rsidRPr="005C2B50">
        <w:rPr>
          <w:b/>
        </w:rPr>
        <w:tab/>
      </w:r>
      <w:r w:rsidRPr="005C2B50">
        <w:rPr>
          <w:b/>
        </w:rPr>
        <w:tab/>
      </w:r>
      <w:r w:rsidRPr="005C2B50">
        <w:rPr>
          <w:b/>
        </w:rPr>
        <w:tab/>
      </w:r>
      <w:r w:rsidR="007C65D1" w:rsidRPr="007C65D1">
        <w:t>Discussion on Exclusion bands for EMC Radiated Immunity Test (Receiver) for AAS and NR</w:t>
      </w:r>
    </w:p>
    <w:p w14:paraId="7E9B3BA8" w14:textId="6D0944E9" w:rsidR="00664D98" w:rsidRPr="00F756D2" w:rsidRDefault="00664D98" w:rsidP="00664D98">
      <w:pPr>
        <w:pStyle w:val="BodyText"/>
        <w:spacing w:after="120"/>
        <w:rPr>
          <w:lang w:val="sv-SE"/>
        </w:rPr>
      </w:pPr>
      <w:r w:rsidRPr="00492BD1">
        <w:rPr>
          <w:b/>
          <w:bCs/>
          <w:lang w:val="sv-SE"/>
        </w:rPr>
        <w:t xml:space="preserve">Agenda </w:t>
      </w:r>
      <w:r w:rsidRPr="00F756D2">
        <w:rPr>
          <w:b/>
          <w:lang w:val="sv-SE"/>
        </w:rPr>
        <w:tab/>
      </w:r>
      <w:r w:rsidR="4A2036DD" w:rsidRPr="00715255">
        <w:rPr>
          <w:b/>
          <w:bCs/>
          <w:lang w:val="sv-SE"/>
        </w:rPr>
        <w:t>item:</w:t>
      </w:r>
      <w:r w:rsidRPr="00F756D2">
        <w:rPr>
          <w:b/>
          <w:lang w:val="sv-SE"/>
        </w:rPr>
        <w:tab/>
      </w:r>
      <w:r w:rsidR="007C65D1">
        <w:rPr>
          <w:lang w:val="sv-SE"/>
        </w:rPr>
        <w:t>9.6.2</w:t>
      </w:r>
    </w:p>
    <w:p w14:paraId="244C963E" w14:textId="4CF5E9D8" w:rsidR="00664D98" w:rsidRPr="00715255" w:rsidRDefault="00664D98" w:rsidP="00715255">
      <w:pPr>
        <w:pStyle w:val="BodyText"/>
        <w:spacing w:after="120"/>
        <w:rPr>
          <w:b/>
          <w:bCs/>
        </w:rPr>
      </w:pPr>
      <w:r w:rsidRPr="00492BD1">
        <w:rPr>
          <w:b/>
          <w:bCs/>
        </w:rPr>
        <w:t>Document for:</w:t>
      </w:r>
      <w:r w:rsidRPr="005C2B50">
        <w:rPr>
          <w:b/>
        </w:rPr>
        <w:tab/>
      </w:r>
      <w:r w:rsidR="00747A93">
        <w:t>Discussion</w:t>
      </w:r>
    </w:p>
    <w:p w14:paraId="292C85E4" w14:textId="77777777" w:rsidR="00664D98" w:rsidRDefault="00664D98" w:rsidP="00664D98">
      <w:pPr>
        <w:pStyle w:val="Heading1"/>
        <w:rPr>
          <w:lang w:val="en-US"/>
        </w:rPr>
      </w:pPr>
      <w:r w:rsidRPr="006A67A0">
        <w:rPr>
          <w:lang w:val="en-US"/>
        </w:rPr>
        <w:t>Introduction</w:t>
      </w:r>
    </w:p>
    <w:p w14:paraId="36CDF2BE" w14:textId="4A9FCBA8" w:rsidR="004E55DF" w:rsidRPr="00715255" w:rsidRDefault="004E55DF" w:rsidP="00715255">
      <w:pPr>
        <w:spacing w:line="276" w:lineRule="auto"/>
        <w:rPr>
          <w:color w:val="000000" w:themeColor="text1"/>
          <w:sz w:val="22"/>
          <w:szCs w:val="22"/>
        </w:rPr>
      </w:pPr>
      <w:r w:rsidRPr="00492BD1">
        <w:rPr>
          <w:color w:val="000000" w:themeColor="text1"/>
          <w:sz w:val="22"/>
          <w:szCs w:val="22"/>
        </w:rPr>
        <w:t xml:space="preserve">This contribution </w:t>
      </w:r>
      <w:r w:rsidR="009F0779" w:rsidRPr="00492BD1">
        <w:rPr>
          <w:color w:val="000000" w:themeColor="text1"/>
          <w:sz w:val="22"/>
          <w:szCs w:val="22"/>
        </w:rPr>
        <w:t xml:space="preserve">aims at </w:t>
      </w:r>
      <w:r w:rsidR="0002141C" w:rsidRPr="00492BD1">
        <w:rPr>
          <w:color w:val="000000" w:themeColor="text1"/>
          <w:sz w:val="22"/>
          <w:szCs w:val="22"/>
        </w:rPr>
        <w:t xml:space="preserve">providing elements to the discussion on </w:t>
      </w:r>
      <w:r w:rsidR="009F0779" w:rsidRPr="00492BD1">
        <w:rPr>
          <w:color w:val="000000" w:themeColor="text1"/>
          <w:sz w:val="22"/>
          <w:szCs w:val="22"/>
        </w:rPr>
        <w:t>exclusion bands for receiver/transmitter for AAS and NR.</w:t>
      </w:r>
      <w:r w:rsidR="0002141C" w:rsidRPr="00492BD1">
        <w:rPr>
          <w:color w:val="000000" w:themeColor="text1"/>
          <w:sz w:val="22"/>
          <w:szCs w:val="22"/>
        </w:rPr>
        <w:t xml:space="preserve">. </w:t>
      </w:r>
      <w:r w:rsidRPr="00492BD1">
        <w:rPr>
          <w:color w:val="000000" w:themeColor="text1"/>
          <w:sz w:val="22"/>
          <w:szCs w:val="22"/>
        </w:rPr>
        <w:t>A</w:t>
      </w:r>
      <w:r w:rsidR="0002141C" w:rsidRPr="00492BD1">
        <w:rPr>
          <w:color w:val="000000" w:themeColor="text1"/>
          <w:sz w:val="22"/>
          <w:szCs w:val="22"/>
        </w:rPr>
        <w:t xml:space="preserve"> companion paper [</w:t>
      </w:r>
      <w:r w:rsidR="00715255">
        <w:rPr>
          <w:color w:val="000000" w:themeColor="text1"/>
          <w:sz w:val="22"/>
          <w:szCs w:val="22"/>
        </w:rPr>
        <w:t>1</w:t>
      </w:r>
      <w:r w:rsidRPr="007C65D1">
        <w:rPr>
          <w:color w:val="000000" w:themeColor="text1"/>
          <w:sz w:val="22"/>
          <w:szCs w:val="22"/>
        </w:rPr>
        <w:t>] a draft text proposal</w:t>
      </w:r>
      <w:r w:rsidR="009F0779" w:rsidRPr="007C65D1">
        <w:rPr>
          <w:color w:val="000000" w:themeColor="text1"/>
          <w:sz w:val="22"/>
          <w:szCs w:val="22"/>
        </w:rPr>
        <w:t xml:space="preserve"> for the exclusion bands in TS 38.113</w:t>
      </w:r>
      <w:r w:rsidR="00715255">
        <w:rPr>
          <w:color w:val="000000" w:themeColor="text1"/>
          <w:sz w:val="22"/>
          <w:szCs w:val="22"/>
        </w:rPr>
        <w:t xml:space="preserve"> [2]</w:t>
      </w:r>
      <w:r w:rsidRPr="007C65D1">
        <w:rPr>
          <w:color w:val="000000" w:themeColor="text1"/>
          <w:sz w:val="22"/>
          <w:szCs w:val="22"/>
        </w:rPr>
        <w:t xml:space="preserve"> is presented as a starting point to capture such agreements discussed in this contribution.</w:t>
      </w:r>
    </w:p>
    <w:p w14:paraId="47A8774F" w14:textId="29867736" w:rsidR="002E57B8" w:rsidRDefault="002E57B8" w:rsidP="002E57B8">
      <w:pPr>
        <w:pStyle w:val="Heading1"/>
      </w:pPr>
      <w:r>
        <w:t>Discussion</w:t>
      </w:r>
    </w:p>
    <w:p w14:paraId="2B46E806" w14:textId="38682A2A" w:rsidR="00492BD1" w:rsidRDefault="00492BD1" w:rsidP="00492BD1">
      <w:pPr>
        <w:jc w:val="both"/>
        <w:rPr>
          <w:sz w:val="22"/>
          <w:szCs w:val="22"/>
          <w:lang w:eastAsia="zh-CN"/>
        </w:rPr>
      </w:pPr>
      <w:r w:rsidRPr="003E79A5">
        <w:rPr>
          <w:sz w:val="22"/>
          <w:szCs w:val="22"/>
          <w:lang w:eastAsia="zh-CN"/>
        </w:rPr>
        <w:t xml:space="preserve">The majority of the EN 301 489 series contains receiver exclusion bands. Within these bands the EUT is not subject to the relevant test procedures.  The justification for this is to protect the receiver front end from damage/undue stress during the test programme. </w:t>
      </w:r>
    </w:p>
    <w:p w14:paraId="5A4003D2" w14:textId="2B48770A" w:rsidR="00492BD1" w:rsidRDefault="00492BD1" w:rsidP="00492BD1">
      <w:pPr>
        <w:jc w:val="both"/>
        <w:rPr>
          <w:sz w:val="22"/>
          <w:szCs w:val="22"/>
          <w:lang w:eastAsia="zh-CN"/>
        </w:rPr>
      </w:pPr>
      <w:r w:rsidRPr="00CC3DBA">
        <w:rPr>
          <w:sz w:val="22"/>
          <w:szCs w:val="22"/>
          <w:lang w:eastAsia="zh-CN"/>
        </w:rPr>
        <w:t>In contrast to standards specifying equipment for managed use of radio spectrum, standards</w:t>
      </w:r>
      <w:r>
        <w:rPr>
          <w:sz w:val="22"/>
          <w:szCs w:val="22"/>
          <w:lang w:eastAsia="zh-CN"/>
        </w:rPr>
        <w:t xml:space="preserve"> </w:t>
      </w:r>
      <w:r w:rsidRPr="00CC3DBA">
        <w:rPr>
          <w:sz w:val="22"/>
          <w:szCs w:val="22"/>
          <w:lang w:eastAsia="zh-CN"/>
        </w:rPr>
        <w:t>for EMC are specified with respect to a general operating environment specified in IEC</w:t>
      </w:r>
      <w:r>
        <w:rPr>
          <w:sz w:val="22"/>
          <w:szCs w:val="22"/>
          <w:lang w:eastAsia="zh-CN"/>
        </w:rPr>
        <w:t xml:space="preserve"> </w:t>
      </w:r>
      <w:r w:rsidRPr="00CC3DBA">
        <w:rPr>
          <w:sz w:val="22"/>
          <w:szCs w:val="22"/>
          <w:lang w:eastAsia="zh-CN"/>
        </w:rPr>
        <w:t>standards (</w:t>
      </w:r>
      <w:r>
        <w:rPr>
          <w:sz w:val="22"/>
          <w:szCs w:val="22"/>
          <w:lang w:eastAsia="zh-CN"/>
        </w:rPr>
        <w:t xml:space="preserve">i.e., </w:t>
      </w:r>
      <w:r w:rsidRPr="00CC3DBA">
        <w:rPr>
          <w:sz w:val="22"/>
          <w:szCs w:val="22"/>
          <w:lang w:eastAsia="zh-CN"/>
        </w:rPr>
        <w:t>IEC 61000-6-1</w:t>
      </w:r>
      <w:r w:rsidR="008A37AD">
        <w:rPr>
          <w:sz w:val="22"/>
          <w:szCs w:val="22"/>
          <w:lang w:eastAsia="zh-CN"/>
        </w:rPr>
        <w:t xml:space="preserve"> [</w:t>
      </w:r>
      <w:r w:rsidR="009061A9">
        <w:rPr>
          <w:sz w:val="22"/>
          <w:szCs w:val="22"/>
          <w:lang w:eastAsia="zh-CN"/>
        </w:rPr>
        <w:t>3</w:t>
      </w:r>
      <w:r w:rsidR="008A37AD">
        <w:rPr>
          <w:sz w:val="22"/>
          <w:szCs w:val="22"/>
          <w:lang w:eastAsia="zh-CN"/>
        </w:rPr>
        <w:t>]</w:t>
      </w:r>
      <w:r w:rsidRPr="00CC3DBA">
        <w:rPr>
          <w:sz w:val="22"/>
          <w:szCs w:val="22"/>
          <w:lang w:eastAsia="zh-CN"/>
        </w:rPr>
        <w:t xml:space="preserve"> for emissions and IEC 61000-6-3</w:t>
      </w:r>
      <w:r w:rsidR="008A37AD">
        <w:rPr>
          <w:sz w:val="22"/>
          <w:szCs w:val="22"/>
          <w:lang w:eastAsia="zh-CN"/>
        </w:rPr>
        <w:t xml:space="preserve"> [</w:t>
      </w:r>
      <w:r w:rsidR="009061A9">
        <w:rPr>
          <w:sz w:val="22"/>
          <w:szCs w:val="22"/>
          <w:lang w:eastAsia="zh-CN"/>
        </w:rPr>
        <w:t>4</w:t>
      </w:r>
      <w:r w:rsidR="008A37AD">
        <w:rPr>
          <w:sz w:val="22"/>
          <w:szCs w:val="22"/>
          <w:lang w:eastAsia="zh-CN"/>
        </w:rPr>
        <w:t>]</w:t>
      </w:r>
      <w:r w:rsidRPr="00CC3DBA">
        <w:rPr>
          <w:sz w:val="22"/>
          <w:szCs w:val="22"/>
          <w:lang w:eastAsia="zh-CN"/>
        </w:rPr>
        <w:t xml:space="preserve"> for immunity in the domestic</w:t>
      </w:r>
      <w:r>
        <w:rPr>
          <w:sz w:val="22"/>
          <w:szCs w:val="22"/>
          <w:lang w:eastAsia="zh-CN"/>
        </w:rPr>
        <w:t xml:space="preserve"> </w:t>
      </w:r>
      <w:r w:rsidRPr="00CC3DBA">
        <w:rPr>
          <w:sz w:val="22"/>
          <w:szCs w:val="22"/>
          <w:lang w:eastAsia="zh-CN"/>
        </w:rPr>
        <w:t>and light industrial environment). They do not take account of specific sharing scenarios.</w:t>
      </w:r>
      <w:r>
        <w:rPr>
          <w:sz w:val="22"/>
          <w:szCs w:val="22"/>
          <w:lang w:eastAsia="zh-CN"/>
        </w:rPr>
        <w:t xml:space="preserve"> </w:t>
      </w:r>
      <w:r w:rsidRPr="00CC3DBA">
        <w:rPr>
          <w:sz w:val="22"/>
          <w:szCs w:val="22"/>
          <w:lang w:eastAsia="zh-CN"/>
        </w:rPr>
        <w:t>For this reason, EMC standards for radio equipment are only applicable at frequencies</w:t>
      </w:r>
      <w:r>
        <w:rPr>
          <w:sz w:val="22"/>
          <w:szCs w:val="22"/>
          <w:lang w:eastAsia="zh-CN"/>
        </w:rPr>
        <w:t xml:space="preserve"> </w:t>
      </w:r>
      <w:r w:rsidRPr="00CC3DBA">
        <w:rPr>
          <w:sz w:val="22"/>
          <w:szCs w:val="22"/>
          <w:lang w:eastAsia="zh-CN"/>
        </w:rPr>
        <w:t>which are sufficiently far from its operating frequency for the planned interaction to be</w:t>
      </w:r>
      <w:r>
        <w:rPr>
          <w:sz w:val="22"/>
          <w:szCs w:val="22"/>
          <w:lang w:eastAsia="zh-CN"/>
        </w:rPr>
        <w:t xml:space="preserve"> </w:t>
      </w:r>
      <w:r w:rsidRPr="00CC3DBA">
        <w:rPr>
          <w:sz w:val="22"/>
          <w:szCs w:val="22"/>
          <w:lang w:eastAsia="zh-CN"/>
        </w:rPr>
        <w:t>considered as minimal. This is reflected in the specification of an “exclusion band” around</w:t>
      </w:r>
      <w:r>
        <w:rPr>
          <w:sz w:val="22"/>
          <w:szCs w:val="22"/>
          <w:lang w:eastAsia="zh-CN"/>
        </w:rPr>
        <w:t xml:space="preserve"> </w:t>
      </w:r>
      <w:r w:rsidRPr="00CC3DBA">
        <w:rPr>
          <w:sz w:val="22"/>
          <w:szCs w:val="22"/>
          <w:lang w:eastAsia="zh-CN"/>
        </w:rPr>
        <w:t>the operating frequency within which the EMC standard does not apply.</w:t>
      </w:r>
      <w:r>
        <w:rPr>
          <w:sz w:val="22"/>
          <w:szCs w:val="22"/>
          <w:lang w:eastAsia="zh-CN"/>
        </w:rPr>
        <w:t xml:space="preserve"> </w:t>
      </w:r>
    </w:p>
    <w:p w14:paraId="6D5A5FEC" w14:textId="3868F702" w:rsidR="00492BD1" w:rsidRDefault="00F83073" w:rsidP="00715255">
      <w:pPr>
        <w:jc w:val="both"/>
      </w:pPr>
      <w:r w:rsidRPr="003E79A5">
        <w:rPr>
          <w:sz w:val="22"/>
          <w:szCs w:val="22"/>
          <w:lang w:eastAsia="zh-CN"/>
        </w:rPr>
        <w:t>Therefore</w:t>
      </w:r>
      <w:r w:rsidR="00492BD1" w:rsidRPr="003E79A5">
        <w:rPr>
          <w:sz w:val="22"/>
          <w:szCs w:val="22"/>
          <w:lang w:eastAsia="zh-CN"/>
        </w:rPr>
        <w:t xml:space="preserve">, the actual exclusion band is directly linked to both the technology employed by the EUT, the service it is intended to deliver and the expected operating environment.  This leads to </w:t>
      </w:r>
      <w:r w:rsidR="00492BD1">
        <w:rPr>
          <w:sz w:val="22"/>
          <w:szCs w:val="22"/>
          <w:lang w:eastAsia="zh-CN"/>
        </w:rPr>
        <w:t xml:space="preserve">very specific exclusion bands. </w:t>
      </w:r>
      <w:r w:rsidR="00492BD1" w:rsidRPr="00DD2B27">
        <w:rPr>
          <w:sz w:val="22"/>
          <w:szCs w:val="22"/>
          <w:lang w:eastAsia="zh-CN"/>
        </w:rPr>
        <w:t xml:space="preserve">When specifying the </w:t>
      </w:r>
      <w:r w:rsidR="00492BD1">
        <w:rPr>
          <w:sz w:val="22"/>
          <w:szCs w:val="22"/>
          <w:lang w:eastAsia="zh-CN"/>
        </w:rPr>
        <w:t xml:space="preserve">exclusion bands for </w:t>
      </w:r>
      <w:r w:rsidR="00492BD1" w:rsidRPr="00DD2B27">
        <w:rPr>
          <w:sz w:val="22"/>
          <w:szCs w:val="22"/>
          <w:lang w:eastAsia="zh-CN"/>
        </w:rPr>
        <w:t>radiated immunity (RI) for</w:t>
      </w:r>
      <w:r w:rsidR="00492BD1">
        <w:rPr>
          <w:sz w:val="22"/>
          <w:szCs w:val="22"/>
          <w:lang w:eastAsia="zh-CN"/>
        </w:rPr>
        <w:t xml:space="preserve"> NR</w:t>
      </w:r>
      <w:r w:rsidR="00492BD1" w:rsidRPr="00DD2B27">
        <w:rPr>
          <w:sz w:val="22"/>
          <w:szCs w:val="22"/>
          <w:lang w:eastAsia="zh-CN"/>
        </w:rPr>
        <w:t xml:space="preserve">, it is very important to keep in mind the original intention of these requirements and the existing limits today. </w:t>
      </w:r>
    </w:p>
    <w:p w14:paraId="3F1EC058" w14:textId="4C27FA4C" w:rsidR="00492BD1" w:rsidRDefault="00492BD1" w:rsidP="00492BD1">
      <w:pPr>
        <w:jc w:val="both"/>
        <w:rPr>
          <w:sz w:val="22"/>
          <w:szCs w:val="22"/>
          <w:lang w:eastAsia="zh-CN"/>
        </w:rPr>
      </w:pPr>
      <w:r w:rsidRPr="0016350C">
        <w:rPr>
          <w:sz w:val="22"/>
          <w:szCs w:val="22"/>
          <w:lang w:eastAsia="zh-CN"/>
        </w:rPr>
        <w:t>T</w:t>
      </w:r>
      <w:r w:rsidR="000F5231">
        <w:rPr>
          <w:sz w:val="22"/>
          <w:szCs w:val="22"/>
          <w:lang w:eastAsia="zh-CN"/>
        </w:rPr>
        <w:t>he  discussion on exclusion bands is covered by different organizations (3GPP, ETSI and ITU), standards and recommendations (TS 37.113</w:t>
      </w:r>
      <w:r w:rsidR="009061A9">
        <w:rPr>
          <w:sz w:val="22"/>
          <w:szCs w:val="22"/>
          <w:lang w:eastAsia="zh-CN"/>
        </w:rPr>
        <w:t xml:space="preserve"> [5</w:t>
      </w:r>
      <w:r w:rsidR="008A37AD">
        <w:rPr>
          <w:sz w:val="22"/>
          <w:szCs w:val="22"/>
          <w:lang w:eastAsia="zh-CN"/>
        </w:rPr>
        <w:t>]</w:t>
      </w:r>
      <w:r w:rsidR="000F5231">
        <w:rPr>
          <w:sz w:val="22"/>
          <w:szCs w:val="22"/>
          <w:lang w:eastAsia="zh-CN"/>
        </w:rPr>
        <w:t>, EN 301 489-50</w:t>
      </w:r>
      <w:r w:rsidR="009061A9">
        <w:rPr>
          <w:sz w:val="22"/>
          <w:szCs w:val="22"/>
          <w:lang w:eastAsia="zh-CN"/>
        </w:rPr>
        <w:t xml:space="preserve"> [6</w:t>
      </w:r>
      <w:r w:rsidR="008A37AD">
        <w:rPr>
          <w:sz w:val="22"/>
          <w:szCs w:val="22"/>
          <w:lang w:eastAsia="zh-CN"/>
        </w:rPr>
        <w:t>]</w:t>
      </w:r>
      <w:r w:rsidR="000F5231">
        <w:rPr>
          <w:sz w:val="22"/>
          <w:szCs w:val="22"/>
          <w:lang w:eastAsia="zh-CN"/>
        </w:rPr>
        <w:t xml:space="preserve">, </w:t>
      </w:r>
      <w:r w:rsidR="000F5231" w:rsidRPr="000F5231">
        <w:rPr>
          <w:sz w:val="22"/>
          <w:szCs w:val="22"/>
          <w:lang w:eastAsia="zh-CN"/>
        </w:rPr>
        <w:t>ITU-R SM.1539-1</w:t>
      </w:r>
      <w:r w:rsidR="008A37AD">
        <w:rPr>
          <w:sz w:val="22"/>
          <w:szCs w:val="22"/>
          <w:lang w:eastAsia="zh-CN"/>
        </w:rPr>
        <w:t>[</w:t>
      </w:r>
      <w:r w:rsidR="009061A9">
        <w:rPr>
          <w:sz w:val="22"/>
          <w:szCs w:val="22"/>
          <w:lang w:eastAsia="zh-CN"/>
        </w:rPr>
        <w:t>7</w:t>
      </w:r>
      <w:r w:rsidR="008A37AD">
        <w:rPr>
          <w:sz w:val="22"/>
          <w:szCs w:val="22"/>
          <w:lang w:eastAsia="zh-CN"/>
        </w:rPr>
        <w:t>]</w:t>
      </w:r>
      <w:r w:rsidR="000F5231">
        <w:rPr>
          <w:sz w:val="22"/>
          <w:szCs w:val="22"/>
          <w:lang w:eastAsia="zh-CN"/>
        </w:rPr>
        <w:t>) e</w:t>
      </w:r>
      <w:r w:rsidRPr="0016350C">
        <w:rPr>
          <w:sz w:val="22"/>
          <w:szCs w:val="22"/>
          <w:lang w:eastAsia="zh-CN"/>
        </w:rPr>
        <w:t xml:space="preserve">xisting </w:t>
      </w:r>
      <w:r>
        <w:rPr>
          <w:sz w:val="22"/>
          <w:szCs w:val="22"/>
          <w:lang w:eastAsia="zh-CN"/>
        </w:rPr>
        <w:t>exclusion bands</w:t>
      </w:r>
      <w:r w:rsidRPr="0016350C">
        <w:rPr>
          <w:sz w:val="22"/>
          <w:szCs w:val="22"/>
          <w:lang w:eastAsia="zh-CN"/>
        </w:rPr>
        <w:t xml:space="preserve"> </w:t>
      </w:r>
      <w:r>
        <w:rPr>
          <w:sz w:val="22"/>
          <w:szCs w:val="22"/>
          <w:lang w:eastAsia="zh-CN"/>
        </w:rPr>
        <w:t>considered in</w:t>
      </w:r>
      <w:r w:rsidRPr="0016350C">
        <w:rPr>
          <w:sz w:val="22"/>
          <w:szCs w:val="22"/>
          <w:lang w:eastAsia="zh-CN"/>
        </w:rPr>
        <w:t xml:space="preserve"> TS 37.113</w:t>
      </w:r>
      <w:r>
        <w:rPr>
          <w:sz w:val="22"/>
          <w:szCs w:val="22"/>
          <w:lang w:eastAsia="zh-CN"/>
        </w:rPr>
        <w:t xml:space="preserve"> are presented as follows</w:t>
      </w:r>
      <w:r w:rsidRPr="0016350C">
        <w:rPr>
          <w:sz w:val="22"/>
          <w:szCs w:val="22"/>
          <w:lang w:eastAsia="zh-CN"/>
        </w:rPr>
        <w:t>. Important aspects for the discussion in this contribution are highlighted in yellow.</w:t>
      </w:r>
    </w:p>
    <w:p w14:paraId="19C5C11E" w14:textId="77777777" w:rsidR="00492BD1" w:rsidRPr="0016350C" w:rsidRDefault="00492BD1" w:rsidP="00492BD1">
      <w:pPr>
        <w:jc w:val="center"/>
        <w:rPr>
          <w:sz w:val="22"/>
          <w:szCs w:val="22"/>
          <w:lang w:eastAsia="zh-CN"/>
        </w:rPr>
      </w:pPr>
      <w:r w:rsidRPr="00C26250">
        <w:rPr>
          <w:color w:val="0070C0"/>
        </w:rPr>
        <w:t>-----start of excerpt from 37.113-----</w:t>
      </w:r>
    </w:p>
    <w:p w14:paraId="528E6ADF" w14:textId="77777777" w:rsidR="00492BD1" w:rsidRPr="00284F4B" w:rsidRDefault="00492BD1" w:rsidP="00492BD1">
      <w:pPr>
        <w:pStyle w:val="Heading2"/>
        <w:numPr>
          <w:ilvl w:val="0"/>
          <w:numId w:val="0"/>
        </w:numPr>
        <w:jc w:val="both"/>
        <w:rPr>
          <w:lang w:eastAsia="en-GB"/>
        </w:rPr>
      </w:pPr>
      <w:bookmarkStart w:id="1" w:name="_Toc494440158"/>
      <w:r w:rsidRPr="00284F4B">
        <w:rPr>
          <w:lang w:eastAsia="en-GB"/>
        </w:rPr>
        <w:t>4.4</w:t>
      </w:r>
      <w:r w:rsidRPr="00284F4B">
        <w:rPr>
          <w:lang w:eastAsia="en-GB"/>
        </w:rPr>
        <w:tab/>
        <w:t>Exclusion bands</w:t>
      </w:r>
      <w:bookmarkEnd w:id="1"/>
    </w:p>
    <w:p w14:paraId="3CA6D816" w14:textId="77777777" w:rsidR="00492BD1" w:rsidRPr="00284F4B" w:rsidRDefault="00492BD1" w:rsidP="00492BD1">
      <w:pPr>
        <w:jc w:val="both"/>
        <w:rPr>
          <w:lang w:eastAsia="en-GB"/>
        </w:rPr>
      </w:pPr>
      <w:r w:rsidRPr="00284F4B">
        <w:rPr>
          <w:lang w:eastAsia="en-GB"/>
        </w:rPr>
        <w:t>An exclusion band is a band of frequencies over which no tests of radiated immunity are made.</w:t>
      </w:r>
    </w:p>
    <w:p w14:paraId="67BC8D1F" w14:textId="77777777" w:rsidR="00492BD1" w:rsidRPr="00284F4B" w:rsidRDefault="00492BD1" w:rsidP="00492BD1">
      <w:pPr>
        <w:pStyle w:val="Heading3"/>
        <w:jc w:val="both"/>
        <w:rPr>
          <w:lang w:eastAsia="en-GB"/>
        </w:rPr>
      </w:pPr>
      <w:bookmarkStart w:id="2" w:name="_Toc494440159"/>
      <w:r w:rsidRPr="00284F4B">
        <w:rPr>
          <w:lang w:eastAsia="en-GB"/>
        </w:rPr>
        <w:t>4.4.1</w:t>
      </w:r>
      <w:r w:rsidRPr="00284F4B">
        <w:rPr>
          <w:lang w:eastAsia="en-GB"/>
        </w:rPr>
        <w:tab/>
        <w:t>Transmitter exclusion band</w:t>
      </w:r>
      <w:bookmarkEnd w:id="2"/>
    </w:p>
    <w:p w14:paraId="477EC2E4" w14:textId="77777777" w:rsidR="00492BD1" w:rsidRPr="00284F4B" w:rsidRDefault="00492BD1" w:rsidP="00492BD1">
      <w:pPr>
        <w:overflowPunct w:val="0"/>
        <w:autoSpaceDE w:val="0"/>
        <w:autoSpaceDN w:val="0"/>
        <w:adjustRightInd w:val="0"/>
        <w:jc w:val="both"/>
        <w:textAlignment w:val="baseline"/>
        <w:rPr>
          <w:lang w:eastAsia="en-GB"/>
        </w:rPr>
      </w:pPr>
      <w:r w:rsidRPr="00DF66F5">
        <w:rPr>
          <w:highlight w:val="yellow"/>
          <w:lang w:eastAsia="en-GB"/>
        </w:rPr>
        <w:t>For testing of radiated immunity there shall be no transmitter exclusion band.</w:t>
      </w:r>
      <w:r w:rsidRPr="00284F4B">
        <w:rPr>
          <w:lang w:eastAsia="en-GB"/>
        </w:rPr>
        <w:t xml:space="preserve"> </w:t>
      </w:r>
    </w:p>
    <w:p w14:paraId="65077C7E" w14:textId="77777777" w:rsidR="00492BD1" w:rsidRPr="00284F4B" w:rsidRDefault="00492BD1" w:rsidP="00492BD1">
      <w:pPr>
        <w:pStyle w:val="Heading3"/>
        <w:jc w:val="both"/>
        <w:rPr>
          <w:lang w:eastAsia="en-GB"/>
        </w:rPr>
      </w:pPr>
      <w:bookmarkStart w:id="3" w:name="_Toc494440160"/>
      <w:r w:rsidRPr="00284F4B">
        <w:rPr>
          <w:lang w:eastAsia="en-GB"/>
        </w:rPr>
        <w:t>4.4.2</w:t>
      </w:r>
      <w:r w:rsidRPr="00284F4B">
        <w:rPr>
          <w:lang w:eastAsia="en-GB"/>
        </w:rPr>
        <w:tab/>
        <w:t>Receiver exclusion band</w:t>
      </w:r>
      <w:bookmarkEnd w:id="3"/>
    </w:p>
    <w:p w14:paraId="6B3FDB8B" w14:textId="77777777" w:rsidR="00492BD1" w:rsidRPr="00284F4B" w:rsidRDefault="00492BD1" w:rsidP="00492BD1">
      <w:pPr>
        <w:overflowPunct w:val="0"/>
        <w:autoSpaceDE w:val="0"/>
        <w:autoSpaceDN w:val="0"/>
        <w:adjustRightInd w:val="0"/>
        <w:jc w:val="both"/>
        <w:textAlignment w:val="baseline"/>
        <w:rPr>
          <w:lang w:eastAsia="en-GB"/>
        </w:rPr>
      </w:pPr>
      <w:r w:rsidRPr="00510678">
        <w:rPr>
          <w:highlight w:val="yellow"/>
          <w:lang w:eastAsia="en-GB"/>
        </w:rPr>
        <w:t>The receiver exclusion band for base stations extends from the lower frequency of the Base Station receive band minus 20 MHz to the upper frequency of the Base Station receive band plus 20 MHz. The exclusion bands for the MSR, E-UTRA, UTRA and GSM/EDGE paired and unpaired operating bands are as set out in Tables 4.4-2 and 4.4-3 respectively.</w:t>
      </w:r>
    </w:p>
    <w:p w14:paraId="0BD6414F" w14:textId="77777777" w:rsidR="00492BD1" w:rsidRPr="00284F4B" w:rsidRDefault="00492BD1" w:rsidP="00492BD1">
      <w:pPr>
        <w:jc w:val="both"/>
      </w:pPr>
      <w:r w:rsidRPr="00284F4B">
        <w:t>For BS capable of multi-band operation, the total receiver exclusion band shall be the combination of the exclusion bands for each operating band supported by the BS.</w:t>
      </w:r>
    </w:p>
    <w:p w14:paraId="769FF4E2" w14:textId="77777777" w:rsidR="00492BD1" w:rsidRPr="0016350C" w:rsidRDefault="00492BD1" w:rsidP="00492BD1">
      <w:pPr>
        <w:jc w:val="center"/>
        <w:rPr>
          <w:sz w:val="22"/>
          <w:szCs w:val="22"/>
          <w:lang w:val="en-US" w:eastAsia="zh-CN"/>
        </w:rPr>
      </w:pPr>
      <w:r w:rsidRPr="00E77408">
        <w:rPr>
          <w:color w:val="0070C0"/>
        </w:rPr>
        <w:t>-----End of excerpt from 37.1</w:t>
      </w:r>
      <w:r>
        <w:rPr>
          <w:color w:val="0070C0"/>
        </w:rPr>
        <w:t>13</w:t>
      </w:r>
      <w:r w:rsidRPr="00E77408">
        <w:rPr>
          <w:color w:val="0070C0"/>
        </w:rPr>
        <w:t>-----</w:t>
      </w:r>
    </w:p>
    <w:p w14:paraId="718278EF" w14:textId="77777777" w:rsidR="00492BD1" w:rsidRDefault="00492BD1" w:rsidP="00492BD1">
      <w:pPr>
        <w:jc w:val="both"/>
        <w:rPr>
          <w:sz w:val="22"/>
          <w:szCs w:val="22"/>
          <w:lang w:eastAsia="zh-CN"/>
        </w:rPr>
      </w:pPr>
    </w:p>
    <w:p w14:paraId="35666C53" w14:textId="77777777" w:rsidR="00492BD1" w:rsidRDefault="00492BD1" w:rsidP="00492BD1">
      <w:pPr>
        <w:jc w:val="both"/>
        <w:rPr>
          <w:sz w:val="22"/>
          <w:szCs w:val="22"/>
          <w:lang w:eastAsia="zh-CN"/>
        </w:rPr>
      </w:pPr>
    </w:p>
    <w:p w14:paraId="35567D9A" w14:textId="77777777" w:rsidR="00492BD1" w:rsidRDefault="00492BD1" w:rsidP="00492BD1">
      <w:pPr>
        <w:jc w:val="center"/>
        <w:rPr>
          <w:color w:val="0070C0"/>
        </w:rPr>
      </w:pPr>
      <w:r w:rsidRPr="00C26250">
        <w:rPr>
          <w:color w:val="0070C0"/>
        </w:rPr>
        <w:t>-----start of excerpt from 3</w:t>
      </w:r>
      <w:r>
        <w:rPr>
          <w:color w:val="0070C0"/>
        </w:rPr>
        <w:t>8.104</w:t>
      </w:r>
      <w:r w:rsidRPr="00C26250">
        <w:rPr>
          <w:color w:val="0070C0"/>
        </w:rPr>
        <w:t>-----</w:t>
      </w:r>
    </w:p>
    <w:p w14:paraId="608332D9" w14:textId="77777777" w:rsidR="00492BD1" w:rsidRPr="0069677C" w:rsidRDefault="00492BD1" w:rsidP="00492BD1">
      <w:pPr>
        <w:pStyle w:val="Heading4"/>
      </w:pPr>
      <w:bookmarkStart w:id="4" w:name="_Toc496531126"/>
      <w:bookmarkStart w:id="5" w:name="_Toc498108783"/>
      <w:r w:rsidRPr="0069677C">
        <w:rPr>
          <w:rFonts w:hint="eastAsia"/>
        </w:rPr>
        <w:t>7</w:t>
      </w:r>
      <w:r w:rsidRPr="0069677C">
        <w:t>.</w:t>
      </w:r>
      <w:r w:rsidRPr="0069677C">
        <w:rPr>
          <w:rFonts w:hint="eastAsia"/>
        </w:rPr>
        <w:t>4</w:t>
      </w:r>
      <w:r w:rsidRPr="0069677C">
        <w:t>.2.1</w:t>
      </w:r>
      <w:r w:rsidRPr="0069677C">
        <w:tab/>
        <w:t>Basic limits</w:t>
      </w:r>
      <w:bookmarkEnd w:id="4"/>
      <w:bookmarkEnd w:id="5"/>
    </w:p>
    <w:p w14:paraId="2442ABBD" w14:textId="77777777" w:rsidR="00492BD1" w:rsidRPr="001E2D04" w:rsidRDefault="00492BD1" w:rsidP="00492BD1">
      <w:pPr>
        <w:rPr>
          <w:lang w:eastAsia="zh-CN"/>
        </w:rPr>
      </w:pPr>
      <w:r w:rsidRPr="001E2D04">
        <w:t>The throughput shall be ≥ 95% of the maximum throughput</w:t>
      </w:r>
      <w:r w:rsidRPr="001E2D04" w:rsidDel="00BE584A">
        <w:t xml:space="preserve"> </w:t>
      </w:r>
      <w:r w:rsidRPr="001E2D04">
        <w:t>of the reference measurement channel</w:t>
      </w:r>
      <w:r w:rsidRPr="001E2D04">
        <w:rPr>
          <w:lang w:eastAsia="zh-CN"/>
        </w:rPr>
        <w:t>.</w:t>
      </w:r>
    </w:p>
    <w:p w14:paraId="2CC343A2" w14:textId="77777777" w:rsidR="00492BD1" w:rsidRDefault="00492BD1" w:rsidP="00492BD1">
      <w:pPr>
        <w:rPr>
          <w:lang w:eastAsia="zh-CN"/>
        </w:rPr>
      </w:pPr>
      <w:r>
        <w:rPr>
          <w:lang w:eastAsia="zh-CN"/>
        </w:rPr>
        <w:t xml:space="preserve">For NR BS, the wanted and the interfering signal coupled to BS antenna input are specified in Tables 7.4.2.1-1 and 7.4.2.1-2 for general and narrowband blocking requirements, respectively. </w:t>
      </w:r>
      <w:r w:rsidRPr="001E2D04">
        <w:rPr>
          <w:rFonts w:eastAsia="Osaka"/>
        </w:rPr>
        <w:t>The reference measurement channel for the wanted signal is identified in Table </w:t>
      </w:r>
      <w:r w:rsidRPr="00EF574A">
        <w:rPr>
          <w:rFonts w:eastAsia="Osaka"/>
        </w:rPr>
        <w:t>7.2.1-1</w:t>
      </w:r>
      <w:r w:rsidRPr="001E2D04">
        <w:rPr>
          <w:rFonts w:eastAsia="Osaka"/>
        </w:rPr>
        <w:t xml:space="preserve"> for each channel bandwidth and further specified in </w:t>
      </w:r>
      <w:r w:rsidRPr="00EF574A">
        <w:rPr>
          <w:rFonts w:eastAsia="Osaka"/>
        </w:rPr>
        <w:t>Annex A</w:t>
      </w:r>
      <w:r>
        <w:rPr>
          <w:rFonts w:eastAsia="Osaka"/>
        </w:rPr>
        <w:t>.</w:t>
      </w:r>
    </w:p>
    <w:p w14:paraId="5A066CC0" w14:textId="77777777" w:rsidR="00492BD1" w:rsidRDefault="00492BD1" w:rsidP="00492BD1">
      <w:pPr>
        <w:rPr>
          <w:lang w:eastAsia="zh-CN"/>
        </w:rPr>
      </w:pPr>
      <w:r w:rsidRPr="00510678">
        <w:rPr>
          <w:highlight w:val="yellow"/>
          <w:lang w:eastAsia="zh-CN"/>
        </w:rPr>
        <w:t>The blocking requirements are applicable outside the Base Station RF Bandwidth or Radio Bandwidth. The interfering signal offset is defined relative to the Base Station RF Bandwidth edges or Radio Bandwidth edges.</w:t>
      </w:r>
      <w:r w:rsidRPr="00510678">
        <w:rPr>
          <w:rFonts w:cs="v3.8.0"/>
          <w:highlight w:val="yellow"/>
        </w:rPr>
        <w:t xml:space="preserve"> The </w:t>
      </w:r>
      <w:r w:rsidRPr="00510678">
        <w:rPr>
          <w:highlight w:val="yellow"/>
          <w:lang w:eastAsia="zh-CN"/>
        </w:rPr>
        <w:t xml:space="preserve">blocking requirements </w:t>
      </w:r>
      <w:r w:rsidRPr="00510678">
        <w:rPr>
          <w:rFonts w:cs="v3.8.0"/>
          <w:highlight w:val="yellow"/>
        </w:rPr>
        <w:t xml:space="preserve">apply </w:t>
      </w:r>
      <w:r w:rsidRPr="00510678">
        <w:rPr>
          <w:highlight w:val="yellow"/>
          <w:lang w:eastAsia="zh-CN"/>
        </w:rPr>
        <w:t xml:space="preserve">in the in-band blocking frequency range, which is </w:t>
      </w:r>
      <w:r w:rsidRPr="00510678">
        <w:rPr>
          <w:rFonts w:cs="v3.8.0"/>
          <w:highlight w:val="yellow"/>
        </w:rPr>
        <w:t xml:space="preserve">from 20 MHz below the lowest frequency of the </w:t>
      </w:r>
      <w:r w:rsidRPr="00510678">
        <w:rPr>
          <w:highlight w:val="yellow"/>
        </w:rPr>
        <w:t>uplink</w:t>
      </w:r>
      <w:r w:rsidRPr="00510678">
        <w:rPr>
          <w:rFonts w:cs="v3.8.0"/>
          <w:highlight w:val="yellow"/>
        </w:rPr>
        <w:t xml:space="preserve"> operating band up to 20 MHz above the highest frequency of the </w:t>
      </w:r>
      <w:r w:rsidRPr="00510678">
        <w:rPr>
          <w:highlight w:val="yellow"/>
        </w:rPr>
        <w:t>uplink</w:t>
      </w:r>
      <w:r w:rsidRPr="00510678" w:rsidDel="00B62512">
        <w:rPr>
          <w:rFonts w:cs="v3.8.0"/>
          <w:highlight w:val="yellow"/>
        </w:rPr>
        <w:t xml:space="preserve"> </w:t>
      </w:r>
      <w:r w:rsidRPr="00510678">
        <w:rPr>
          <w:rFonts w:cs="v3.8.0"/>
          <w:highlight w:val="yellow"/>
        </w:rPr>
        <w:t xml:space="preserve">operating band for 1-C type NR BS in an operating band less than 200 MHz wide or 1-H type NR BS in an operating band less than 100 MHz wide, or is from 60 MHz below the lowest frequency of the </w:t>
      </w:r>
      <w:r w:rsidRPr="00510678">
        <w:rPr>
          <w:highlight w:val="yellow"/>
        </w:rPr>
        <w:t>uplink</w:t>
      </w:r>
      <w:r w:rsidRPr="00510678">
        <w:rPr>
          <w:rFonts w:cs="v3.8.0"/>
          <w:highlight w:val="yellow"/>
        </w:rPr>
        <w:t xml:space="preserve"> operating band up to 60 MHz above the highest frequency of the </w:t>
      </w:r>
      <w:r w:rsidRPr="00510678">
        <w:rPr>
          <w:highlight w:val="yellow"/>
        </w:rPr>
        <w:t>uplink</w:t>
      </w:r>
      <w:r w:rsidRPr="00510678" w:rsidDel="00B62512">
        <w:rPr>
          <w:rFonts w:cs="v3.8.0"/>
          <w:highlight w:val="yellow"/>
        </w:rPr>
        <w:t xml:space="preserve"> </w:t>
      </w:r>
      <w:r w:rsidRPr="00510678">
        <w:rPr>
          <w:rFonts w:cs="v3.8.0"/>
          <w:highlight w:val="yellow"/>
        </w:rPr>
        <w:t>operating band for 1-C type NR BS in an operating band more than or equal to 200 MHz wide or 1-H type NR BS in an operating band more than or equal to 100 MHz wide, but excludes the downlink frequency range of the operating band.</w:t>
      </w:r>
    </w:p>
    <w:p w14:paraId="1DD3B950" w14:textId="77777777" w:rsidR="00492BD1" w:rsidRDefault="00492BD1" w:rsidP="00492BD1">
      <w:pPr>
        <w:jc w:val="center"/>
        <w:rPr>
          <w:color w:val="0070C0"/>
        </w:rPr>
      </w:pPr>
      <w:r>
        <w:rPr>
          <w:color w:val="0070C0"/>
        </w:rPr>
        <w:t>-----End of excerpt from 38</w:t>
      </w:r>
      <w:r w:rsidRPr="00E77408">
        <w:rPr>
          <w:color w:val="0070C0"/>
        </w:rPr>
        <w:t>.104-----</w:t>
      </w:r>
    </w:p>
    <w:p w14:paraId="5E8C367E" w14:textId="77777777" w:rsidR="00492BD1" w:rsidRDefault="00492BD1" w:rsidP="00492BD1">
      <w:pPr>
        <w:jc w:val="center"/>
        <w:rPr>
          <w:color w:val="0070C0"/>
        </w:rPr>
      </w:pPr>
      <w:r w:rsidRPr="00C26250">
        <w:rPr>
          <w:color w:val="0070C0"/>
        </w:rPr>
        <w:t xml:space="preserve">-----start of excerpt from </w:t>
      </w:r>
      <w:r>
        <w:rPr>
          <w:color w:val="0070C0"/>
        </w:rPr>
        <w:t xml:space="preserve">ETSI EN 301 489-50 </w:t>
      </w:r>
      <w:r w:rsidRPr="00C26250">
        <w:rPr>
          <w:color w:val="0070C0"/>
        </w:rPr>
        <w:t>-----</w:t>
      </w:r>
    </w:p>
    <w:p w14:paraId="44137509" w14:textId="77777777" w:rsidR="00492BD1" w:rsidRPr="00A816E8" w:rsidRDefault="00492BD1" w:rsidP="00492BD1">
      <w:pPr>
        <w:pStyle w:val="Heading3"/>
        <w:jc w:val="both"/>
        <w:rPr>
          <w:lang w:eastAsia="en-GB"/>
        </w:rPr>
      </w:pPr>
      <w:r w:rsidRPr="00A816E8">
        <w:rPr>
          <w:lang w:eastAsia="en-GB"/>
        </w:rPr>
        <w:t>4.3 Exclusion bands</w:t>
      </w:r>
    </w:p>
    <w:p w14:paraId="397DBE60" w14:textId="77777777" w:rsidR="00492BD1" w:rsidRPr="00A816E8" w:rsidRDefault="00492BD1" w:rsidP="00492BD1">
      <w:pPr>
        <w:pStyle w:val="Heading3"/>
        <w:jc w:val="both"/>
        <w:rPr>
          <w:lang w:eastAsia="en-GB"/>
        </w:rPr>
      </w:pPr>
      <w:r w:rsidRPr="00A816E8">
        <w:rPr>
          <w:lang w:eastAsia="en-GB"/>
        </w:rPr>
        <w:t>4.3.1 Transmitter exclusion band</w:t>
      </w:r>
    </w:p>
    <w:p w14:paraId="27FD3621" w14:textId="77777777" w:rsidR="00492BD1" w:rsidRPr="00A816E8" w:rsidRDefault="00492BD1" w:rsidP="00492BD1">
      <w:pPr>
        <w:overflowPunct w:val="0"/>
        <w:autoSpaceDE w:val="0"/>
        <w:autoSpaceDN w:val="0"/>
        <w:adjustRightInd w:val="0"/>
        <w:jc w:val="both"/>
        <w:textAlignment w:val="baseline"/>
        <w:rPr>
          <w:lang w:eastAsia="en-GB"/>
        </w:rPr>
      </w:pPr>
      <w:r w:rsidRPr="00510678">
        <w:rPr>
          <w:highlight w:val="yellow"/>
          <w:lang w:eastAsia="en-GB"/>
        </w:rPr>
        <w:t>UTRA, E-UTRA, GSM/Edge, CDMA, Mobile OFDMA WMAN and MSR - for testing of radiated immunity there shall be no transmitter exclusion band.</w:t>
      </w:r>
    </w:p>
    <w:p w14:paraId="38124DE1" w14:textId="77777777" w:rsidR="00492BD1" w:rsidRPr="0085786A" w:rsidRDefault="00492BD1" w:rsidP="00492BD1">
      <w:pPr>
        <w:pStyle w:val="Heading3"/>
        <w:jc w:val="both"/>
        <w:rPr>
          <w:rFonts w:cs="Arial"/>
          <w:sz w:val="28"/>
          <w:szCs w:val="28"/>
        </w:rPr>
      </w:pPr>
      <w:r w:rsidRPr="00A816E8">
        <w:rPr>
          <w:lang w:eastAsia="en-GB"/>
        </w:rPr>
        <w:t>4.3.2 Receiver exclusion band</w:t>
      </w:r>
    </w:p>
    <w:p w14:paraId="31428BED" w14:textId="77777777" w:rsidR="00492BD1" w:rsidRPr="00510678" w:rsidRDefault="00492BD1" w:rsidP="00492BD1">
      <w:pPr>
        <w:overflowPunct w:val="0"/>
        <w:autoSpaceDE w:val="0"/>
        <w:autoSpaceDN w:val="0"/>
        <w:adjustRightInd w:val="0"/>
        <w:jc w:val="both"/>
        <w:textAlignment w:val="baseline"/>
        <w:rPr>
          <w:highlight w:val="yellow"/>
          <w:lang w:eastAsia="en-GB"/>
        </w:rPr>
      </w:pPr>
      <w:r w:rsidRPr="00510678">
        <w:rPr>
          <w:highlight w:val="yellow"/>
          <w:lang w:eastAsia="en-GB"/>
        </w:rPr>
        <w:t xml:space="preserve">The BSS receiver exclusion band is the band of frequencies over which no tests of radiated immunity of a receiver are made. Extends from the lower frequency of the Base Station receive band minus 20 MHz to the upper frequency of the Base Station receive band plus 20 MHz. </w:t>
      </w:r>
    </w:p>
    <w:p w14:paraId="60FEDF1C" w14:textId="77777777" w:rsidR="00492BD1" w:rsidRPr="00510678" w:rsidRDefault="00492BD1" w:rsidP="00492BD1">
      <w:pPr>
        <w:overflowPunct w:val="0"/>
        <w:autoSpaceDE w:val="0"/>
        <w:autoSpaceDN w:val="0"/>
        <w:adjustRightInd w:val="0"/>
        <w:jc w:val="both"/>
        <w:textAlignment w:val="baseline"/>
        <w:rPr>
          <w:highlight w:val="yellow"/>
          <w:lang w:eastAsia="en-GB"/>
        </w:rPr>
      </w:pPr>
      <w:r w:rsidRPr="00510678">
        <w:rPr>
          <w:highlight w:val="yellow"/>
          <w:lang w:eastAsia="en-GB"/>
        </w:rPr>
        <w:t>NOTE: The value of 20 MHz above is derived using the formula in clause 4.3.3.1 of ETSI EN 301 489-1 [1] where the value of n is one. For BS capable of multi-band operation, the total receiver exclusion band shall be the combination of the exclusion bands for each operating band supported by the BS.</w:t>
      </w:r>
    </w:p>
    <w:p w14:paraId="2CC2111C" w14:textId="77777777" w:rsidR="00492BD1" w:rsidRPr="00A816E8" w:rsidRDefault="00492BD1" w:rsidP="00492BD1">
      <w:pPr>
        <w:overflowPunct w:val="0"/>
        <w:autoSpaceDE w:val="0"/>
        <w:autoSpaceDN w:val="0"/>
        <w:adjustRightInd w:val="0"/>
        <w:jc w:val="both"/>
        <w:textAlignment w:val="baseline"/>
        <w:rPr>
          <w:lang w:eastAsia="en-GB"/>
        </w:rPr>
      </w:pPr>
      <w:r w:rsidRPr="00510678">
        <w:rPr>
          <w:highlight w:val="yellow"/>
          <w:lang w:eastAsia="en-GB"/>
        </w:rPr>
        <w:t>The exclusion bands for the E- UTRA, UTRA, GSM/EDGE and MSR paired and unpaired can be calculated using the operating bands are as set out in tables 4.4-2 and 4.4-3 in ETSI TS 137 113 [27].</w:t>
      </w:r>
    </w:p>
    <w:p w14:paraId="2C173424" w14:textId="77777777" w:rsidR="00492BD1" w:rsidRDefault="00492BD1" w:rsidP="00492BD1">
      <w:pPr>
        <w:overflowPunct w:val="0"/>
        <w:autoSpaceDE w:val="0"/>
        <w:autoSpaceDN w:val="0"/>
        <w:adjustRightInd w:val="0"/>
        <w:jc w:val="both"/>
        <w:textAlignment w:val="baseline"/>
        <w:rPr>
          <w:lang w:eastAsia="en-GB"/>
        </w:rPr>
      </w:pPr>
      <w:r w:rsidRPr="00510678">
        <w:rPr>
          <w:highlight w:val="yellow"/>
          <w:lang w:eastAsia="en-GB"/>
        </w:rPr>
        <w:t>This discussion document is the start of the process to harmonising the methodology behind determining appropriate exclusion bands.</w:t>
      </w:r>
    </w:p>
    <w:p w14:paraId="1138222C" w14:textId="77777777" w:rsidR="00492BD1" w:rsidRPr="00C56156" w:rsidRDefault="00492BD1" w:rsidP="00492BD1">
      <w:pPr>
        <w:pStyle w:val="Heading3"/>
        <w:jc w:val="both"/>
        <w:rPr>
          <w:rFonts w:cs="Arial"/>
          <w:sz w:val="28"/>
          <w:szCs w:val="28"/>
        </w:rPr>
      </w:pPr>
      <w:r w:rsidRPr="00F127EC">
        <w:rPr>
          <w:lang w:eastAsia="en-GB"/>
        </w:rPr>
        <w:t>7.2.2 Special conditions</w:t>
      </w:r>
    </w:p>
    <w:p w14:paraId="3183A456" w14:textId="77777777" w:rsidR="00492BD1" w:rsidRPr="00F127EC" w:rsidRDefault="00492BD1" w:rsidP="00492BD1">
      <w:pPr>
        <w:overflowPunct w:val="0"/>
        <w:autoSpaceDE w:val="0"/>
        <w:autoSpaceDN w:val="0"/>
        <w:adjustRightInd w:val="0"/>
        <w:jc w:val="both"/>
        <w:textAlignment w:val="baseline"/>
        <w:rPr>
          <w:lang w:val="en-US"/>
        </w:rPr>
      </w:pPr>
      <w:r w:rsidRPr="00F127EC">
        <w:rPr>
          <w:lang w:eastAsia="en-GB"/>
        </w:rPr>
        <w:t>The following special conditions set out in table 7 relate to the immunity test configurations set out in</w:t>
      </w:r>
      <w:r>
        <w:rPr>
          <w:lang w:eastAsia="en-GB"/>
        </w:rPr>
        <w:t xml:space="preserve"> </w:t>
      </w:r>
      <w:r w:rsidRPr="00F127EC">
        <w:rPr>
          <w:lang w:eastAsia="en-GB"/>
        </w:rPr>
        <w:t>ETSI EN 301 489-1 [1], clause 9.</w:t>
      </w:r>
    </w:p>
    <w:p w14:paraId="2244537B" w14:textId="77777777" w:rsidR="00492BD1" w:rsidRDefault="00492BD1" w:rsidP="00492BD1">
      <w:pPr>
        <w:overflowPunct w:val="0"/>
        <w:autoSpaceDE w:val="0"/>
        <w:autoSpaceDN w:val="0"/>
        <w:adjustRightInd w:val="0"/>
        <w:jc w:val="center"/>
        <w:textAlignment w:val="baseline"/>
        <w:rPr>
          <w:rFonts w:ascii="Arial" w:hAnsi="Arial" w:cs="Arial"/>
          <w:b/>
          <w:bCs/>
          <w:lang w:val="en-US"/>
        </w:rPr>
      </w:pPr>
    </w:p>
    <w:p w14:paraId="3243602A" w14:textId="77777777" w:rsidR="00492BD1" w:rsidRDefault="00492BD1" w:rsidP="00492BD1">
      <w:pPr>
        <w:overflowPunct w:val="0"/>
        <w:autoSpaceDE w:val="0"/>
        <w:autoSpaceDN w:val="0"/>
        <w:adjustRightInd w:val="0"/>
        <w:jc w:val="center"/>
        <w:textAlignment w:val="baseline"/>
        <w:rPr>
          <w:rFonts w:ascii="Arial" w:hAnsi="Arial" w:cs="Arial"/>
          <w:b/>
          <w:bCs/>
          <w:lang w:val="en-US"/>
        </w:rPr>
      </w:pPr>
    </w:p>
    <w:p w14:paraId="5DCCF3DD" w14:textId="77777777" w:rsidR="00492BD1" w:rsidRPr="00C56156" w:rsidRDefault="00492BD1" w:rsidP="00492BD1">
      <w:pPr>
        <w:overflowPunct w:val="0"/>
        <w:autoSpaceDE w:val="0"/>
        <w:autoSpaceDN w:val="0"/>
        <w:adjustRightInd w:val="0"/>
        <w:jc w:val="center"/>
        <w:textAlignment w:val="baseline"/>
        <w:rPr>
          <w:lang w:val="en-US" w:eastAsia="en-GB"/>
        </w:rPr>
      </w:pPr>
      <w:r w:rsidRPr="00C56156">
        <w:rPr>
          <w:rFonts w:ascii="Arial" w:hAnsi="Arial" w:cs="Arial"/>
          <w:b/>
          <w:bCs/>
          <w:lang w:val="en-US"/>
        </w:rPr>
        <w:t>Table 7: Special conditions for EMC immunity measurements</w:t>
      </w:r>
    </w:p>
    <w:p w14:paraId="1AB43F80" w14:textId="77777777" w:rsidR="00492BD1" w:rsidRPr="00F127EC" w:rsidRDefault="00492BD1" w:rsidP="00492BD1">
      <w:pPr>
        <w:overflowPunct w:val="0"/>
        <w:autoSpaceDE w:val="0"/>
        <w:autoSpaceDN w:val="0"/>
        <w:adjustRightInd w:val="0"/>
        <w:jc w:val="both"/>
        <w:textAlignment w:val="baseline"/>
        <w:rPr>
          <w:lang w:val="en-US" w:eastAsia="en-GB"/>
        </w:rPr>
      </w:pPr>
      <w:r>
        <w:rPr>
          <w:rFonts w:ascii="Arial" w:hAnsi="Arial" w:cs="Arial"/>
          <w:b/>
          <w:bCs/>
          <w:noProof/>
          <w:lang w:val="en-US"/>
        </w:rPr>
        <w:lastRenderedPageBreak/>
        <mc:AlternateContent>
          <mc:Choice Requires="wps">
            <w:drawing>
              <wp:anchor distT="0" distB="0" distL="114300" distR="114300" simplePos="0" relativeHeight="251658240" behindDoc="0" locked="0" layoutInCell="1" allowOverlap="1" wp14:anchorId="75C3B5E1" wp14:editId="702579C3">
                <wp:simplePos x="0" y="0"/>
                <wp:positionH relativeFrom="column">
                  <wp:posOffset>44450</wp:posOffset>
                </wp:positionH>
                <wp:positionV relativeFrom="paragraph">
                  <wp:posOffset>3776066</wp:posOffset>
                </wp:positionV>
                <wp:extent cx="6356909" cy="534009"/>
                <wp:effectExtent l="19050" t="19050" r="25400" b="19050"/>
                <wp:wrapNone/>
                <wp:docPr id="2" name="Rectangle 2"/>
                <wp:cNvGraphicFramePr/>
                <a:graphic xmlns:a="http://schemas.openxmlformats.org/drawingml/2006/main">
                  <a:graphicData uri="http://schemas.microsoft.com/office/word/2010/wordprocessingShape">
                    <wps:wsp>
                      <wps:cNvSpPr/>
                      <wps:spPr>
                        <a:xfrm>
                          <a:off x="0" y="0"/>
                          <a:ext cx="6356909" cy="534009"/>
                        </a:xfrm>
                        <a:prstGeom prst="rect">
                          <a:avLst/>
                        </a:prstGeom>
                        <a:noFill/>
                        <a:ln w="28575">
                          <a:solidFill>
                            <a:srgbClr val="FFFF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A00116" id="Rectangle 2" o:spid="_x0000_s1026" style="position:absolute;margin-left:3.5pt;margin-top:297.35pt;width:500.55pt;height:4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" filled="f" strokecolor="yellow" strokeweight="2.25pt"/>
            </w:pict>
          </mc:Fallback>
        </mc:AlternateContent>
      </w:r>
      <w:r w:rsidRPr="00F127EC">
        <w:rPr>
          <w:noProof/>
          <w:lang w:val="en-US" w:eastAsia="en-GB"/>
        </w:rPr>
        <w:drawing>
          <wp:inline distT="0" distB="0" distL="0" distR="0" wp14:anchorId="68BD25F3" wp14:editId="3B65BBB6">
            <wp:extent cx="6552565" cy="4386761"/>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52565" cy="4386761"/>
                    </a:xfrm>
                    <a:prstGeom prst="rect">
                      <a:avLst/>
                    </a:prstGeom>
                    <a:noFill/>
                    <a:ln>
                      <a:noFill/>
                    </a:ln>
                  </pic:spPr>
                </pic:pic>
              </a:graphicData>
            </a:graphic>
          </wp:inline>
        </w:drawing>
      </w:r>
    </w:p>
    <w:p w14:paraId="0FF4DFA7" w14:textId="77777777" w:rsidR="00492BD1" w:rsidRPr="003E79A5" w:rsidRDefault="00492BD1" w:rsidP="00492BD1">
      <w:pPr>
        <w:jc w:val="center"/>
        <w:rPr>
          <w:sz w:val="22"/>
          <w:szCs w:val="22"/>
          <w:lang w:eastAsia="zh-CN"/>
        </w:rPr>
      </w:pPr>
      <w:r w:rsidRPr="00E77408">
        <w:rPr>
          <w:color w:val="0070C0"/>
        </w:rPr>
        <w:t xml:space="preserve">-----End of excerpt from </w:t>
      </w:r>
      <w:r>
        <w:rPr>
          <w:color w:val="0070C0"/>
        </w:rPr>
        <w:t>ETSI EN 301 489-50</w:t>
      </w:r>
      <w:r w:rsidRPr="00E77408">
        <w:rPr>
          <w:color w:val="0070C0"/>
        </w:rPr>
        <w:t>-----</w:t>
      </w:r>
    </w:p>
    <w:p w14:paraId="328AAEE4" w14:textId="3389EB23" w:rsidR="006A62E0" w:rsidRDefault="006A62E0" w:rsidP="006A62E0">
      <w:pPr>
        <w:jc w:val="center"/>
        <w:rPr>
          <w:color w:val="0070C0"/>
        </w:rPr>
      </w:pPr>
      <w:r w:rsidRPr="00C26250">
        <w:rPr>
          <w:color w:val="0070C0"/>
        </w:rPr>
        <w:t xml:space="preserve">-----start of excerpt from </w:t>
      </w:r>
      <w:r w:rsidRPr="006A62E0">
        <w:rPr>
          <w:color w:val="0070C0"/>
        </w:rPr>
        <w:t>ITU-R SM.1539-1</w:t>
      </w:r>
      <w:r w:rsidRPr="00C26250">
        <w:rPr>
          <w:color w:val="0070C0"/>
        </w:rPr>
        <w:t>-----</w:t>
      </w:r>
    </w:p>
    <w:p w14:paraId="69BE4006" w14:textId="77777777" w:rsidR="006A62E0" w:rsidRPr="006A62E0" w:rsidRDefault="006A62E0" w:rsidP="006A62E0">
      <w:pPr>
        <w:rPr>
          <w:b/>
          <w:sz w:val="24"/>
          <w:lang w:val="en-US"/>
        </w:rPr>
      </w:pPr>
      <w:r w:rsidRPr="006A62E0">
        <w:rPr>
          <w:b/>
          <w:sz w:val="24"/>
          <w:lang w:val="en-US"/>
        </w:rPr>
        <w:t>1 Introduction</w:t>
      </w:r>
    </w:p>
    <w:p w14:paraId="42AB057D" w14:textId="77777777" w:rsidR="006A62E0" w:rsidRPr="006A62E0" w:rsidRDefault="006A62E0" w:rsidP="006A62E0">
      <w:pPr>
        <w:rPr>
          <w:lang w:val="en-US"/>
        </w:rPr>
      </w:pPr>
      <w:r w:rsidRPr="006A62E0">
        <w:rPr>
          <w:highlight w:val="yellow"/>
          <w:lang w:val="en-US"/>
        </w:rPr>
        <w:t>As stated in recommends 2.3 of Recommendation ITU-R SM.1541 and further recommends 2.3 of Recommendation ITU-R SM.329, the boundary between the OoB and spurious domains, which is generally specified as being separated from the centre frequency by 250% of the necessary bandwidth, needs to be modified for narrow-band and wideband (including multicarrier) systems, and certain other situations.</w:t>
      </w:r>
      <w:r w:rsidRPr="006A62E0">
        <w:rPr>
          <w:lang w:val="en-US"/>
        </w:rPr>
        <w:t xml:space="preserve"> This Annex provides:</w:t>
      </w:r>
    </w:p>
    <w:p w14:paraId="35FE7383" w14:textId="77777777" w:rsidR="006A62E0" w:rsidRPr="006A62E0" w:rsidRDefault="006A62E0" w:rsidP="006A62E0">
      <w:pPr>
        <w:rPr>
          <w:lang w:val="en-US"/>
        </w:rPr>
      </w:pPr>
      <w:r w:rsidRPr="006A62E0">
        <w:rPr>
          <w:lang w:val="en-US"/>
        </w:rPr>
        <w:t>– a set of guidelines on values of bandwidths across the spectrum at which the general definition needs to be varied; and</w:t>
      </w:r>
    </w:p>
    <w:p w14:paraId="2E620E37" w14:textId="7DA24007" w:rsidR="006A62E0" w:rsidRPr="006A62E0" w:rsidRDefault="006A62E0" w:rsidP="006A62E0">
      <w:pPr>
        <w:rPr>
          <w:lang w:val="en-US"/>
        </w:rPr>
      </w:pPr>
      <w:r w:rsidRPr="006A62E0">
        <w:rPr>
          <w:lang w:val="en-US"/>
        </w:rPr>
        <w:t>– a set of known situations in which additional guidelines are required.</w:t>
      </w:r>
    </w:p>
    <w:p w14:paraId="63BE643E" w14:textId="77777777" w:rsidR="006A62E0" w:rsidRPr="006A62E0" w:rsidRDefault="006A62E0" w:rsidP="006A62E0">
      <w:pPr>
        <w:rPr>
          <w:b/>
          <w:sz w:val="24"/>
          <w:lang w:val="en-US"/>
        </w:rPr>
      </w:pPr>
      <w:r w:rsidRPr="006A62E0">
        <w:rPr>
          <w:b/>
          <w:sz w:val="24"/>
          <w:lang w:val="en-US"/>
        </w:rPr>
        <w:t>2 Boundary variations for narrow-band and wideband systems</w:t>
      </w:r>
    </w:p>
    <w:p w14:paraId="1A189609" w14:textId="77777777" w:rsidR="006A62E0" w:rsidRPr="006A62E0" w:rsidRDefault="006A62E0" w:rsidP="006A62E0">
      <w:pPr>
        <w:autoSpaceDE w:val="0"/>
        <w:autoSpaceDN w:val="0"/>
        <w:adjustRightInd w:val="0"/>
        <w:spacing w:after="0"/>
        <w:rPr>
          <w:lang w:val="en-US"/>
        </w:rPr>
      </w:pPr>
      <w:r w:rsidRPr="006A62E0">
        <w:rPr>
          <w:lang w:val="en-US"/>
        </w:rPr>
        <w:t>For the definition of necessary bandwidth, its applicability to multichannel or multicarrier transmitters/transponders, and its use in the fixed and radiodetermination services, see further recommends 1.4 of Recommendation ITU-R SM.329.</w:t>
      </w:r>
    </w:p>
    <w:p w14:paraId="3C40A63F" w14:textId="77777777" w:rsidR="006A62E0" w:rsidRPr="006A62E0" w:rsidRDefault="006A62E0" w:rsidP="006A62E0">
      <w:pPr>
        <w:autoSpaceDE w:val="0"/>
        <w:autoSpaceDN w:val="0"/>
        <w:adjustRightInd w:val="0"/>
        <w:spacing w:after="0"/>
        <w:rPr>
          <w:lang w:val="en-US"/>
        </w:rPr>
      </w:pPr>
    </w:p>
    <w:p w14:paraId="21634DB7" w14:textId="77777777" w:rsidR="006A62E0" w:rsidRPr="006A62E0" w:rsidRDefault="006A62E0" w:rsidP="006A62E0">
      <w:pPr>
        <w:autoSpaceDE w:val="0"/>
        <w:autoSpaceDN w:val="0"/>
        <w:adjustRightInd w:val="0"/>
        <w:spacing w:after="0"/>
        <w:rPr>
          <w:lang w:val="en-US"/>
        </w:rPr>
      </w:pPr>
      <w:r w:rsidRPr="006A62E0">
        <w:rPr>
          <w:lang w:val="en-US"/>
        </w:rPr>
        <w:t>Figure 1 shows the spurious boundary as a function of necessary bandwidth, indicating the boundary variations. The normal separation between the centre frequency and the spurious domain boundary is 250% of the necessary bandwidth, as shown in Fig. 1, between the vertical dashed lines.</w:t>
      </w:r>
    </w:p>
    <w:p w14:paraId="79A923BE" w14:textId="77777777" w:rsidR="006A62E0" w:rsidRPr="006A62E0" w:rsidRDefault="006A62E0" w:rsidP="006A62E0">
      <w:pPr>
        <w:autoSpaceDE w:val="0"/>
        <w:autoSpaceDN w:val="0"/>
        <w:adjustRightInd w:val="0"/>
        <w:spacing w:after="0"/>
        <w:rPr>
          <w:lang w:val="en-US"/>
        </w:rPr>
      </w:pPr>
    </w:p>
    <w:p w14:paraId="226C96A5" w14:textId="603D6E1D" w:rsidR="006A62E0" w:rsidRPr="006A62E0" w:rsidRDefault="006A62E0" w:rsidP="006A62E0">
      <w:pPr>
        <w:autoSpaceDE w:val="0"/>
        <w:autoSpaceDN w:val="0"/>
        <w:adjustRightInd w:val="0"/>
        <w:spacing w:after="0"/>
        <w:rPr>
          <w:lang w:val="en-US"/>
        </w:rPr>
      </w:pPr>
      <w:r w:rsidRPr="006A62E0">
        <w:rPr>
          <w:highlight w:val="yellow"/>
          <w:lang w:val="en-US"/>
        </w:rPr>
        <w:t>For some narrow-band emissions, it is appropriate to avoid specifying OoB and spurious domains in</w:t>
      </w:r>
      <w:r w:rsidRPr="006A62E0">
        <w:rPr>
          <w:highlight w:val="yellow"/>
          <w:lang w:val="en-US"/>
        </w:rPr>
        <w:t xml:space="preserve"> </w:t>
      </w:r>
      <w:r w:rsidRPr="006A62E0">
        <w:rPr>
          <w:highlight w:val="yellow"/>
          <w:lang w:val="en-US"/>
        </w:rPr>
        <w:t>very narrow bandwidths near to the emission, which will usually be under the control of the same operator. On the other hand, it is necessary to restrict the linear growth of the OoB domain versus necessary bandwidth for wideband emissions, in order to restrict the incursion of the OoB domain into adjacent bands.</w:t>
      </w:r>
    </w:p>
    <w:p w14:paraId="3ADBFD53" w14:textId="77777777" w:rsidR="006A62E0" w:rsidRPr="006A62E0" w:rsidRDefault="006A62E0" w:rsidP="006A62E0">
      <w:pPr>
        <w:autoSpaceDE w:val="0"/>
        <w:autoSpaceDN w:val="0"/>
        <w:adjustRightInd w:val="0"/>
        <w:spacing w:after="0"/>
        <w:rPr>
          <w:lang w:val="en-US"/>
        </w:rPr>
      </w:pPr>
    </w:p>
    <w:p w14:paraId="24923AA3" w14:textId="77777777" w:rsidR="006A62E0" w:rsidRPr="006A62E0" w:rsidRDefault="006A62E0" w:rsidP="006A62E0">
      <w:pPr>
        <w:autoSpaceDE w:val="0"/>
        <w:autoSpaceDN w:val="0"/>
        <w:adjustRightInd w:val="0"/>
        <w:spacing w:after="0"/>
        <w:rPr>
          <w:lang w:val="en-US"/>
        </w:rPr>
      </w:pPr>
      <w:r w:rsidRPr="006A62E0">
        <w:rPr>
          <w:highlight w:val="yellow"/>
          <w:lang w:val="en-US"/>
        </w:rPr>
        <w:t>Figure 1 shows how the boundary is determined for the narrow-band and wideband cases. When the necessary bandwidth of the emission is less than the lower threshold value BL, the boundary is a constant 2.5 BL. Conversely, when the necessary bandwidth exceeds the upper threshold value BU, the boundary increases at a lower rate, having a value of 1.5 BN + BU. Table 1 shows the formulas for the narrow-band, normal and wideband cases.</w:t>
      </w:r>
    </w:p>
    <w:p w14:paraId="18E03EC2" w14:textId="77777777" w:rsidR="006A62E0" w:rsidRPr="006A62E0" w:rsidRDefault="006A62E0" w:rsidP="006A62E0">
      <w:pPr>
        <w:rPr>
          <w:lang w:val="en-US"/>
        </w:rPr>
      </w:pPr>
    </w:p>
    <w:p w14:paraId="6DD44D26" w14:textId="77777777" w:rsidR="006A62E0" w:rsidRPr="006A62E0" w:rsidRDefault="006A62E0" w:rsidP="006A62E0">
      <w:pPr>
        <w:rPr>
          <w:lang w:val="en-US"/>
        </w:rPr>
      </w:pPr>
      <w:r w:rsidRPr="006A62E0">
        <w:rPr>
          <w:lang w:val="en-US"/>
        </w:rPr>
        <w:lastRenderedPageBreak/>
        <w:drawing>
          <wp:inline distT="0" distB="0" distL="0" distR="0" wp14:anchorId="3F6B0A1D" wp14:editId="086FCDDC">
            <wp:extent cx="3952875" cy="53054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52875" cy="5305425"/>
                    </a:xfrm>
                    <a:prstGeom prst="rect">
                      <a:avLst/>
                    </a:prstGeom>
                    <a:noFill/>
                    <a:ln>
                      <a:noFill/>
                    </a:ln>
                  </pic:spPr>
                </pic:pic>
              </a:graphicData>
            </a:graphic>
          </wp:inline>
        </w:drawing>
      </w:r>
    </w:p>
    <w:p w14:paraId="04A09F3F" w14:textId="77777777" w:rsidR="006A62E0" w:rsidRPr="006A62E0" w:rsidRDefault="006A62E0" w:rsidP="006A62E0">
      <w:pPr>
        <w:rPr>
          <w:lang w:val="en-US"/>
        </w:rPr>
      </w:pPr>
    </w:p>
    <w:p w14:paraId="2109F1DB" w14:textId="77777777" w:rsidR="006A62E0" w:rsidRPr="006A62E0" w:rsidRDefault="006A62E0" w:rsidP="006A62E0">
      <w:pPr>
        <w:rPr>
          <w:lang w:val="en-US"/>
        </w:rPr>
      </w:pPr>
      <w:r w:rsidRPr="006A62E0">
        <w:rPr>
          <w:lang w:val="en-US"/>
        </w:rPr>
        <w:drawing>
          <wp:inline distT="0" distB="0" distL="0" distR="0" wp14:anchorId="443923CC" wp14:editId="5F1F2FC2">
            <wp:extent cx="6505575" cy="2190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05575" cy="2190750"/>
                    </a:xfrm>
                    <a:prstGeom prst="rect">
                      <a:avLst/>
                    </a:prstGeom>
                    <a:noFill/>
                    <a:ln>
                      <a:noFill/>
                    </a:ln>
                  </pic:spPr>
                </pic:pic>
              </a:graphicData>
            </a:graphic>
          </wp:inline>
        </w:drawing>
      </w:r>
    </w:p>
    <w:p w14:paraId="12852231" w14:textId="48EF18A2" w:rsidR="006A62E0" w:rsidRDefault="006A62E0" w:rsidP="006A62E0">
      <w:pPr>
        <w:autoSpaceDE w:val="0"/>
        <w:autoSpaceDN w:val="0"/>
        <w:adjustRightInd w:val="0"/>
        <w:spacing w:after="0"/>
        <w:jc w:val="center"/>
        <w:rPr>
          <w:b/>
          <w:lang w:val="en-US"/>
        </w:rPr>
      </w:pPr>
      <w:r w:rsidRPr="006A62E0">
        <w:rPr>
          <w:b/>
          <w:lang w:val="en-US"/>
        </w:rPr>
        <w:t>Table 1.</w:t>
      </w:r>
    </w:p>
    <w:p w14:paraId="1790CB0E" w14:textId="77777777" w:rsidR="006A62E0" w:rsidRPr="006A62E0" w:rsidRDefault="006A62E0" w:rsidP="006A62E0">
      <w:pPr>
        <w:autoSpaceDE w:val="0"/>
        <w:autoSpaceDN w:val="0"/>
        <w:adjustRightInd w:val="0"/>
        <w:spacing w:after="0"/>
        <w:jc w:val="center"/>
        <w:rPr>
          <w:b/>
          <w:lang w:val="en-US"/>
        </w:rPr>
      </w:pPr>
    </w:p>
    <w:p w14:paraId="15901A5B" w14:textId="354AD2C8" w:rsidR="006A62E0" w:rsidRPr="006A62E0" w:rsidRDefault="006A62E0" w:rsidP="006A62E0">
      <w:pPr>
        <w:autoSpaceDE w:val="0"/>
        <w:autoSpaceDN w:val="0"/>
        <w:adjustRightInd w:val="0"/>
        <w:spacing w:after="0"/>
        <w:rPr>
          <w:lang w:val="en-US"/>
        </w:rPr>
      </w:pPr>
      <w:r w:rsidRPr="006A62E0">
        <w:rPr>
          <w:lang w:val="en-US"/>
        </w:rPr>
        <w:t xml:space="preserve">It should be noted that Table 1 can apply to asymmetric emissions, since the offset is specified based on the centre of the necessary bandwidth. For situations where the boundary is not defined in terms of necessary bandwidth, see § 3. </w:t>
      </w:r>
    </w:p>
    <w:p w14:paraId="544FC696" w14:textId="77777777" w:rsidR="006A62E0" w:rsidRPr="006A62E0" w:rsidRDefault="006A62E0" w:rsidP="006A62E0">
      <w:pPr>
        <w:autoSpaceDE w:val="0"/>
        <w:autoSpaceDN w:val="0"/>
        <w:adjustRightInd w:val="0"/>
        <w:spacing w:after="0"/>
        <w:rPr>
          <w:lang w:val="en-US"/>
        </w:rPr>
      </w:pPr>
    </w:p>
    <w:p w14:paraId="138244CF" w14:textId="77777777" w:rsidR="006A62E0" w:rsidRPr="006A62E0" w:rsidRDefault="006A62E0" w:rsidP="006A62E0">
      <w:pPr>
        <w:autoSpaceDE w:val="0"/>
        <w:autoSpaceDN w:val="0"/>
        <w:adjustRightInd w:val="0"/>
        <w:spacing w:after="0"/>
        <w:rPr>
          <w:lang w:val="en-US"/>
        </w:rPr>
      </w:pPr>
      <w:r w:rsidRPr="006A62E0">
        <w:rPr>
          <w:lang w:val="en-US"/>
        </w:rPr>
        <w:t>In the case of narrow-band and wideband systems, the variation of the spurious boundary also affects the OoB masks specified in Recommendation ITU-R SM.1541. This is covered in recommends 5 of Recommendation ITU-R SM.1541.</w:t>
      </w:r>
    </w:p>
    <w:p w14:paraId="07966449" w14:textId="77777777" w:rsidR="006A62E0" w:rsidRPr="006A62E0" w:rsidRDefault="006A62E0" w:rsidP="006A62E0">
      <w:pPr>
        <w:autoSpaceDE w:val="0"/>
        <w:autoSpaceDN w:val="0"/>
        <w:adjustRightInd w:val="0"/>
        <w:spacing w:after="0"/>
        <w:rPr>
          <w:lang w:val="en-US"/>
        </w:rPr>
      </w:pPr>
    </w:p>
    <w:p w14:paraId="159E699D" w14:textId="75576857" w:rsidR="006A62E0" w:rsidRPr="006A62E0" w:rsidRDefault="006A62E0" w:rsidP="006A62E0">
      <w:pPr>
        <w:autoSpaceDE w:val="0"/>
        <w:autoSpaceDN w:val="0"/>
        <w:adjustRightInd w:val="0"/>
        <w:spacing w:after="0"/>
        <w:rPr>
          <w:lang w:val="en-US"/>
        </w:rPr>
      </w:pPr>
      <w:r w:rsidRPr="006A62E0">
        <w:rPr>
          <w:lang w:val="en-US"/>
        </w:rPr>
        <w:lastRenderedPageBreak/>
        <w:t>Table 2 provides guidance for determining general values of separation between the centre</w:t>
      </w:r>
      <w:r>
        <w:rPr>
          <w:lang w:val="en-US"/>
        </w:rPr>
        <w:t xml:space="preserve"> </w:t>
      </w:r>
      <w:r w:rsidRPr="006A62E0">
        <w:rPr>
          <w:lang w:val="en-US"/>
        </w:rPr>
        <w:t>frequency of an emission and the beginning of its spurious domain. A minimum separation applies</w:t>
      </w:r>
      <w:r>
        <w:rPr>
          <w:lang w:val="en-US"/>
        </w:rPr>
        <w:t xml:space="preserve"> </w:t>
      </w:r>
      <w:r w:rsidRPr="006A62E0">
        <w:rPr>
          <w:lang w:val="en-US"/>
        </w:rPr>
        <w:t>to the narrow-band case, while the normal and wideband cases have separate formulas for</w:t>
      </w:r>
      <w:r>
        <w:rPr>
          <w:lang w:val="en-US"/>
        </w:rPr>
        <w:t xml:space="preserve"> </w:t>
      </w:r>
      <w:r w:rsidRPr="006A62E0">
        <w:rPr>
          <w:lang w:val="en-US"/>
        </w:rPr>
        <w:t>determining the boundary.</w:t>
      </w:r>
    </w:p>
    <w:p w14:paraId="794657A4" w14:textId="77777777" w:rsidR="006A62E0" w:rsidRPr="006A62E0" w:rsidRDefault="006A62E0" w:rsidP="006A62E0">
      <w:pPr>
        <w:autoSpaceDE w:val="0"/>
        <w:autoSpaceDN w:val="0"/>
        <w:adjustRightInd w:val="0"/>
        <w:spacing w:after="0"/>
        <w:rPr>
          <w:lang w:val="en-US"/>
        </w:rPr>
      </w:pPr>
    </w:p>
    <w:p w14:paraId="1A9D23D8" w14:textId="77777777" w:rsidR="006A62E0" w:rsidRPr="006A62E0" w:rsidRDefault="006A62E0" w:rsidP="006A62E0">
      <w:pPr>
        <w:autoSpaceDE w:val="0"/>
        <w:autoSpaceDN w:val="0"/>
        <w:adjustRightInd w:val="0"/>
        <w:spacing w:after="0"/>
        <w:rPr>
          <w:lang w:val="en-US"/>
        </w:rPr>
      </w:pPr>
    </w:p>
    <w:p w14:paraId="1974D34A" w14:textId="77777777" w:rsidR="006A62E0" w:rsidRPr="006A62E0" w:rsidRDefault="006A62E0" w:rsidP="006A62E0">
      <w:pPr>
        <w:autoSpaceDE w:val="0"/>
        <w:autoSpaceDN w:val="0"/>
        <w:adjustRightInd w:val="0"/>
        <w:spacing w:after="0"/>
        <w:rPr>
          <w:lang w:val="en-US"/>
        </w:rPr>
      </w:pPr>
      <w:r w:rsidRPr="006A62E0">
        <w:rPr>
          <w:lang w:val="en-US"/>
        </w:rPr>
        <w:drawing>
          <wp:inline distT="0" distB="0" distL="0" distR="0" wp14:anchorId="4A781FD6" wp14:editId="7D6A1FF7">
            <wp:extent cx="6552565" cy="4406799"/>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52565" cy="4406799"/>
                    </a:xfrm>
                    <a:prstGeom prst="rect">
                      <a:avLst/>
                    </a:prstGeom>
                    <a:noFill/>
                    <a:ln>
                      <a:noFill/>
                    </a:ln>
                  </pic:spPr>
                </pic:pic>
              </a:graphicData>
            </a:graphic>
          </wp:inline>
        </w:drawing>
      </w:r>
    </w:p>
    <w:p w14:paraId="3D10AF95" w14:textId="77777777" w:rsidR="006A62E0" w:rsidRPr="006A62E0" w:rsidRDefault="006A62E0" w:rsidP="006A62E0">
      <w:pPr>
        <w:autoSpaceDE w:val="0"/>
        <w:autoSpaceDN w:val="0"/>
        <w:adjustRightInd w:val="0"/>
        <w:spacing w:after="0"/>
        <w:jc w:val="center"/>
        <w:rPr>
          <w:b/>
          <w:lang w:val="en-US"/>
        </w:rPr>
      </w:pPr>
      <w:r w:rsidRPr="006A62E0">
        <w:rPr>
          <w:b/>
          <w:lang w:val="en-US"/>
        </w:rPr>
        <w:t xml:space="preserve">Table 2 </w:t>
      </w:r>
      <w:r w:rsidRPr="006A62E0">
        <w:rPr>
          <w:b/>
          <w:lang w:val="en-US"/>
        </w:rPr>
        <w:t>Guideline values for frequency separation between the centre frequency</w:t>
      </w:r>
    </w:p>
    <w:p w14:paraId="31DA6BBD" w14:textId="442CCD2E" w:rsidR="006A62E0" w:rsidRPr="006A62E0" w:rsidRDefault="006A62E0" w:rsidP="006A62E0">
      <w:pPr>
        <w:autoSpaceDE w:val="0"/>
        <w:autoSpaceDN w:val="0"/>
        <w:adjustRightInd w:val="0"/>
        <w:spacing w:after="0"/>
        <w:jc w:val="center"/>
        <w:rPr>
          <w:b/>
          <w:lang w:val="en-US"/>
        </w:rPr>
      </w:pPr>
      <w:r w:rsidRPr="006A62E0">
        <w:rPr>
          <w:b/>
          <w:lang w:val="en-US"/>
        </w:rPr>
        <w:t>and the boundary of the spurious domain</w:t>
      </w:r>
    </w:p>
    <w:p w14:paraId="018914C0" w14:textId="77777777" w:rsidR="006A62E0" w:rsidRPr="006A62E0" w:rsidRDefault="006A62E0" w:rsidP="006A62E0">
      <w:pPr>
        <w:autoSpaceDE w:val="0"/>
        <w:autoSpaceDN w:val="0"/>
        <w:adjustRightInd w:val="0"/>
        <w:spacing w:after="0"/>
        <w:rPr>
          <w:lang w:val="en-US"/>
        </w:rPr>
      </w:pPr>
    </w:p>
    <w:p w14:paraId="236411CC" w14:textId="77777777" w:rsidR="006A62E0" w:rsidRPr="006A62E0" w:rsidRDefault="006A62E0" w:rsidP="006A62E0">
      <w:pPr>
        <w:autoSpaceDE w:val="0"/>
        <w:autoSpaceDN w:val="0"/>
        <w:adjustRightInd w:val="0"/>
        <w:spacing w:after="0"/>
        <w:rPr>
          <w:lang w:val="en-US"/>
        </w:rPr>
      </w:pPr>
      <w:r w:rsidRPr="006A62E0">
        <w:rPr>
          <w:lang w:val="en-US"/>
        </w:rPr>
        <w:t>NOTE 1 – In Table 2, fc is the centre frequency of the emission. If the assigned frequency band of the emissions extends across two frequency ranges, then the values corresponding to the higher frequency range may be used for the whole assignment.</w:t>
      </w:r>
    </w:p>
    <w:p w14:paraId="510B744F" w14:textId="77777777" w:rsidR="006A62E0" w:rsidRPr="006A62E0" w:rsidRDefault="006A62E0" w:rsidP="006A62E0">
      <w:pPr>
        <w:autoSpaceDE w:val="0"/>
        <w:autoSpaceDN w:val="0"/>
        <w:adjustRightInd w:val="0"/>
        <w:spacing w:after="0"/>
        <w:rPr>
          <w:lang w:val="en-US"/>
        </w:rPr>
      </w:pPr>
      <w:r w:rsidRPr="006A62E0">
        <w:rPr>
          <w:lang w:val="en-US"/>
        </w:rPr>
        <w:t>NOTE 2 – For situations in which the above guidelines are not applicable, additional guidelines are provided in § 3.</w:t>
      </w:r>
    </w:p>
    <w:p w14:paraId="3F79D331" w14:textId="77777777" w:rsidR="006A62E0" w:rsidRPr="006A62E0" w:rsidRDefault="006A62E0" w:rsidP="006A62E0">
      <w:pPr>
        <w:autoSpaceDE w:val="0"/>
        <w:autoSpaceDN w:val="0"/>
        <w:adjustRightInd w:val="0"/>
        <w:spacing w:after="0"/>
        <w:rPr>
          <w:lang w:val="en-US"/>
        </w:rPr>
      </w:pPr>
      <w:r w:rsidRPr="006A62E0">
        <w:rPr>
          <w:lang w:val="en-US"/>
        </w:rPr>
        <w:t>NOTE 3 – Further studies need to be conducted within the ITU-R to confirm the values of frequency separation in Table 2.</w:t>
      </w:r>
    </w:p>
    <w:p w14:paraId="3FA7C622" w14:textId="77777777" w:rsidR="006A62E0" w:rsidRPr="006A62E0" w:rsidRDefault="006A62E0" w:rsidP="006A62E0">
      <w:pPr>
        <w:autoSpaceDE w:val="0"/>
        <w:autoSpaceDN w:val="0"/>
        <w:adjustRightInd w:val="0"/>
        <w:spacing w:after="0"/>
        <w:rPr>
          <w:lang w:val="en-US"/>
        </w:rPr>
      </w:pPr>
    </w:p>
    <w:p w14:paraId="2268DD32" w14:textId="7A20FFCF" w:rsidR="006A62E0" w:rsidRPr="003E72B2" w:rsidRDefault="006A62E0" w:rsidP="006A62E0">
      <w:pPr>
        <w:autoSpaceDE w:val="0"/>
        <w:autoSpaceDN w:val="0"/>
        <w:adjustRightInd w:val="0"/>
        <w:spacing w:after="0"/>
        <w:rPr>
          <w:highlight w:val="yellow"/>
          <w:lang w:val="en-US"/>
        </w:rPr>
      </w:pPr>
      <w:r w:rsidRPr="003E72B2">
        <w:rPr>
          <w:highlight w:val="yellow"/>
          <w:lang w:val="en-US"/>
        </w:rPr>
        <w:t>Example 1: The necessary bandwidth of an emission at 26 MHz is 1.8 kHz. Since 2.5 BN is only 4.5 kHz, the minimum eparation applies. The spurious domain begins 10 kHz each side of the centre of the necessary bandwidth.</w:t>
      </w:r>
    </w:p>
    <w:p w14:paraId="17A566F2" w14:textId="70DB163F" w:rsidR="006A62E0" w:rsidRPr="006A62E0" w:rsidRDefault="006A62E0" w:rsidP="006A62E0">
      <w:pPr>
        <w:autoSpaceDE w:val="0"/>
        <w:autoSpaceDN w:val="0"/>
        <w:adjustRightInd w:val="0"/>
        <w:spacing w:after="0"/>
        <w:rPr>
          <w:lang w:val="en-US"/>
        </w:rPr>
      </w:pPr>
      <w:r w:rsidRPr="003E72B2">
        <w:rPr>
          <w:highlight w:val="yellow"/>
          <w:lang w:val="en-US"/>
        </w:rPr>
        <w:t>Example 2: The necessary bandwidth of an emission at 8 GHz is 200 MHz. Since the wideband case</w:t>
      </w:r>
      <w:r w:rsidR="003E72B2" w:rsidRPr="003E72B2">
        <w:rPr>
          <w:highlight w:val="yellow"/>
          <w:lang w:val="en-US"/>
        </w:rPr>
        <w:t xml:space="preserve"> </w:t>
      </w:r>
      <w:r w:rsidRPr="003E72B2">
        <w:rPr>
          <w:highlight w:val="yellow"/>
          <w:lang w:val="en-US"/>
        </w:rPr>
        <w:t xml:space="preserve">applies for BN </w:t>
      </w:r>
      <w:r w:rsidRPr="003E72B2">
        <w:rPr>
          <w:rFonts w:hint="eastAsia"/>
          <w:highlight w:val="yellow"/>
          <w:lang w:val="en-US"/>
        </w:rPr>
        <w:t xml:space="preserve">&gt; </w:t>
      </w:r>
      <w:r w:rsidRPr="003E72B2">
        <w:rPr>
          <w:highlight w:val="yellow"/>
          <w:lang w:val="en-US"/>
        </w:rPr>
        <w:t>100 MHz at that frequency, the spurious domain begins 400 MHz each side of the</w:t>
      </w:r>
      <w:r w:rsidR="003E72B2" w:rsidRPr="003E72B2">
        <w:rPr>
          <w:highlight w:val="yellow"/>
          <w:lang w:val="en-US"/>
        </w:rPr>
        <w:t xml:space="preserve"> </w:t>
      </w:r>
      <w:r w:rsidRPr="003E72B2">
        <w:rPr>
          <w:highlight w:val="yellow"/>
          <w:lang w:val="en-US"/>
        </w:rPr>
        <w:t>centre of the necessary bandwidth. Using the general separation formula, the OoB domain would</w:t>
      </w:r>
      <w:r w:rsidR="003E72B2" w:rsidRPr="003E72B2">
        <w:rPr>
          <w:highlight w:val="yellow"/>
          <w:lang w:val="en-US"/>
        </w:rPr>
        <w:t xml:space="preserve"> </w:t>
      </w:r>
      <w:r w:rsidRPr="003E72B2">
        <w:rPr>
          <w:highlight w:val="yellow"/>
          <w:lang w:val="en-US"/>
        </w:rPr>
        <w:t xml:space="preserve">have extended to 2.5 </w:t>
      </w:r>
      <w:r w:rsidRPr="003E72B2">
        <w:rPr>
          <w:rFonts w:hint="eastAsia"/>
          <w:highlight w:val="yellow"/>
          <w:lang w:val="en-US"/>
        </w:rPr>
        <w:t>×</w:t>
      </w:r>
      <w:r w:rsidRPr="003E72B2">
        <w:rPr>
          <w:rFonts w:hint="eastAsia"/>
          <w:highlight w:val="yellow"/>
          <w:lang w:val="en-US"/>
        </w:rPr>
        <w:t xml:space="preserve"> </w:t>
      </w:r>
      <w:r w:rsidRPr="003E72B2">
        <w:rPr>
          <w:highlight w:val="yellow"/>
          <w:lang w:val="en-US"/>
        </w:rPr>
        <w:t>200 MHz = 500 MHz either side of the centre frequency.</w:t>
      </w:r>
    </w:p>
    <w:p w14:paraId="07EA0907" w14:textId="2C06994E" w:rsidR="003E72B2" w:rsidRDefault="003E72B2" w:rsidP="00492BD1"/>
    <w:p w14:paraId="02B73A69" w14:textId="00FDD05B" w:rsidR="00646176" w:rsidRDefault="00646176" w:rsidP="00646176">
      <w:pPr>
        <w:jc w:val="center"/>
        <w:rPr>
          <w:color w:val="0070C0"/>
        </w:rPr>
      </w:pPr>
      <w:r w:rsidRPr="00E77408">
        <w:rPr>
          <w:color w:val="0070C0"/>
        </w:rPr>
        <w:t xml:space="preserve">-----End of excerpt from </w:t>
      </w:r>
      <w:bookmarkStart w:id="6" w:name="_GoBack"/>
      <w:bookmarkEnd w:id="6"/>
      <w:r w:rsidRPr="006A62E0">
        <w:rPr>
          <w:color w:val="0070C0"/>
        </w:rPr>
        <w:t>ITU-R SM.1539-1</w:t>
      </w:r>
      <w:r w:rsidRPr="00C26250">
        <w:rPr>
          <w:color w:val="0070C0"/>
        </w:rPr>
        <w:t>-----</w:t>
      </w:r>
    </w:p>
    <w:p w14:paraId="1434198F" w14:textId="77777777" w:rsidR="00646176" w:rsidRDefault="00646176" w:rsidP="00492BD1"/>
    <w:p w14:paraId="4034CE74" w14:textId="1FF1522B" w:rsidR="00492BD1" w:rsidRPr="003E72B2" w:rsidRDefault="00492BD1" w:rsidP="003E72B2">
      <w:pPr>
        <w:jc w:val="both"/>
        <w:rPr>
          <w:sz w:val="22"/>
          <w:szCs w:val="22"/>
          <w:lang w:eastAsia="zh-CN"/>
        </w:rPr>
      </w:pPr>
      <w:r w:rsidRPr="003E72B2">
        <w:rPr>
          <w:sz w:val="22"/>
          <w:szCs w:val="22"/>
          <w:lang w:eastAsia="zh-CN"/>
        </w:rPr>
        <w:t>From the above text, the following key observations can be made:</w:t>
      </w:r>
    </w:p>
    <w:p w14:paraId="44E1083D" w14:textId="77777777" w:rsidR="00492BD1" w:rsidRPr="003E72B2" w:rsidRDefault="00492BD1" w:rsidP="003E72B2">
      <w:pPr>
        <w:jc w:val="both"/>
        <w:rPr>
          <w:sz w:val="22"/>
          <w:szCs w:val="22"/>
          <w:lang w:eastAsia="zh-CN"/>
        </w:rPr>
      </w:pPr>
      <w:r w:rsidRPr="008575A7">
        <w:rPr>
          <w:b/>
          <w:sz w:val="22"/>
          <w:szCs w:val="22"/>
          <w:lang w:eastAsia="zh-CN"/>
        </w:rPr>
        <w:t>Observation set 1</w:t>
      </w:r>
      <w:r w:rsidRPr="003E72B2">
        <w:rPr>
          <w:sz w:val="22"/>
          <w:szCs w:val="22"/>
          <w:lang w:eastAsia="zh-CN"/>
        </w:rPr>
        <w:t>:</w:t>
      </w:r>
    </w:p>
    <w:p w14:paraId="0805ECAC" w14:textId="77777777" w:rsidR="00492BD1" w:rsidRPr="003E72B2" w:rsidRDefault="00492BD1" w:rsidP="003E72B2">
      <w:pPr>
        <w:pStyle w:val="ListParagraph"/>
        <w:numPr>
          <w:ilvl w:val="0"/>
          <w:numId w:val="39"/>
        </w:numPr>
        <w:ind w:firstLineChars="0"/>
        <w:jc w:val="both"/>
        <w:rPr>
          <w:sz w:val="22"/>
          <w:szCs w:val="22"/>
          <w:lang w:eastAsia="zh-CN"/>
        </w:rPr>
      </w:pPr>
      <w:r w:rsidRPr="003E72B2">
        <w:rPr>
          <w:sz w:val="22"/>
          <w:szCs w:val="22"/>
          <w:lang w:eastAsia="zh-CN"/>
        </w:rPr>
        <w:t xml:space="preserve">For testing of EMC radiated immunity both 3GPP and ETSI agree on defining exclusion bands for the receiver. In that sense, the receiver exclusion band is the band of frequencies over which no tests of radiated immunity of a receiver are made. </w:t>
      </w:r>
    </w:p>
    <w:p w14:paraId="66553429" w14:textId="77777777" w:rsidR="00492BD1" w:rsidRPr="003E72B2" w:rsidRDefault="00492BD1" w:rsidP="003E72B2">
      <w:pPr>
        <w:pStyle w:val="ListParagraph"/>
        <w:numPr>
          <w:ilvl w:val="0"/>
          <w:numId w:val="39"/>
        </w:numPr>
        <w:ind w:firstLineChars="0"/>
        <w:jc w:val="both"/>
        <w:rPr>
          <w:sz w:val="22"/>
          <w:szCs w:val="22"/>
          <w:lang w:eastAsia="zh-CN"/>
        </w:rPr>
      </w:pPr>
      <w:r w:rsidRPr="003E72B2">
        <w:rPr>
          <w:sz w:val="22"/>
          <w:szCs w:val="22"/>
          <w:lang w:eastAsia="zh-CN"/>
        </w:rPr>
        <w:t xml:space="preserve">Both 3GPP and ETSI initially defined a value of 20 MHz used to determine the exclusion bands both from the lower and the upper frequency of the Base Station receive band.  </w:t>
      </w:r>
    </w:p>
    <w:p w14:paraId="6DBEF324" w14:textId="77777777" w:rsidR="00492BD1" w:rsidRPr="003E72B2" w:rsidRDefault="00492BD1" w:rsidP="003E72B2">
      <w:pPr>
        <w:pStyle w:val="ListParagraph"/>
        <w:numPr>
          <w:ilvl w:val="0"/>
          <w:numId w:val="39"/>
        </w:numPr>
        <w:ind w:firstLineChars="0"/>
        <w:jc w:val="both"/>
        <w:rPr>
          <w:sz w:val="22"/>
          <w:szCs w:val="22"/>
          <w:lang w:eastAsia="zh-CN"/>
        </w:rPr>
      </w:pPr>
      <w:r w:rsidRPr="003E72B2">
        <w:rPr>
          <w:sz w:val="22"/>
          <w:szCs w:val="22"/>
          <w:lang w:eastAsia="zh-CN"/>
        </w:rPr>
        <w:lastRenderedPageBreak/>
        <w:t>The value of 20 MHz is derived using the formula in clause 4.3.3.1 of ETSI EN 301 489-1 where the value of n is one. For BS capable of multi-band operation, the total receiver exclusion band shall be the combination of the exclusion bands for each operating band supported by the BS.</w:t>
      </w:r>
    </w:p>
    <w:p w14:paraId="3A2C702F" w14:textId="2EB93D26" w:rsidR="00492BD1" w:rsidRDefault="003E72B2" w:rsidP="003E72B2">
      <w:pPr>
        <w:pStyle w:val="ListParagraph"/>
        <w:numPr>
          <w:ilvl w:val="0"/>
          <w:numId w:val="39"/>
        </w:numPr>
        <w:ind w:firstLineChars="0"/>
        <w:jc w:val="both"/>
        <w:rPr>
          <w:sz w:val="22"/>
          <w:szCs w:val="22"/>
          <w:lang w:val="en-US" w:eastAsia="zh-CN"/>
        </w:rPr>
      </w:pPr>
      <w:r>
        <w:rPr>
          <w:sz w:val="22"/>
          <w:szCs w:val="22"/>
          <w:lang w:eastAsia="zh-CN"/>
        </w:rPr>
        <w:t xml:space="preserve">ITU R recommendation considers important to adjust the definition of the Exclusion bands taking into account different frequency and technologies. </w:t>
      </w:r>
    </w:p>
    <w:p w14:paraId="030B6770" w14:textId="77777777" w:rsidR="00C03D8E" w:rsidRPr="002E57B8" w:rsidRDefault="00512090" w:rsidP="00C03D8E">
      <w:pPr>
        <w:pStyle w:val="Heading1"/>
      </w:pPr>
      <w:r>
        <w:t>Conclusion</w:t>
      </w:r>
    </w:p>
    <w:p w14:paraId="0C606B6A" w14:textId="77777777" w:rsidR="008575A7" w:rsidRPr="003E72B2" w:rsidRDefault="008575A7" w:rsidP="008575A7">
      <w:pPr>
        <w:pStyle w:val="ListParagraph"/>
        <w:numPr>
          <w:ilvl w:val="0"/>
          <w:numId w:val="39"/>
        </w:numPr>
        <w:ind w:firstLineChars="0"/>
        <w:jc w:val="both"/>
        <w:rPr>
          <w:sz w:val="22"/>
          <w:szCs w:val="22"/>
          <w:lang w:eastAsia="zh-CN"/>
        </w:rPr>
      </w:pPr>
      <w:r w:rsidRPr="003E72B2">
        <w:rPr>
          <w:sz w:val="22"/>
          <w:szCs w:val="22"/>
          <w:lang w:eastAsia="zh-CN"/>
        </w:rPr>
        <w:t xml:space="preserve">For testing of EMC radiated immunity both 3GPP and ETSI agree on defining exclusion bands for the receiver. In that sense, the receiver exclusion band is the band of frequencies over which no tests of radiated immunity of a receiver are made. </w:t>
      </w:r>
    </w:p>
    <w:p w14:paraId="6A057176" w14:textId="77777777" w:rsidR="008575A7" w:rsidRPr="003E72B2" w:rsidRDefault="008575A7" w:rsidP="008575A7">
      <w:pPr>
        <w:pStyle w:val="ListParagraph"/>
        <w:numPr>
          <w:ilvl w:val="0"/>
          <w:numId w:val="39"/>
        </w:numPr>
        <w:ind w:firstLineChars="0"/>
        <w:jc w:val="both"/>
        <w:rPr>
          <w:sz w:val="22"/>
          <w:szCs w:val="22"/>
          <w:lang w:eastAsia="zh-CN"/>
        </w:rPr>
      </w:pPr>
      <w:r w:rsidRPr="003E72B2">
        <w:rPr>
          <w:sz w:val="22"/>
          <w:szCs w:val="22"/>
          <w:lang w:eastAsia="zh-CN"/>
        </w:rPr>
        <w:t xml:space="preserve">Both 3GPP and ETSI initially defined a value of 20 MHz used to determine the exclusion bands both from the lower and the upper frequency of the Base Station receive band.  </w:t>
      </w:r>
    </w:p>
    <w:p w14:paraId="2CACE516" w14:textId="77777777" w:rsidR="008575A7" w:rsidRPr="008575A7" w:rsidRDefault="008575A7" w:rsidP="001C5ADC">
      <w:pPr>
        <w:pStyle w:val="ListParagraph"/>
        <w:numPr>
          <w:ilvl w:val="0"/>
          <w:numId w:val="39"/>
        </w:numPr>
        <w:ind w:firstLineChars="0"/>
        <w:jc w:val="both"/>
        <w:rPr>
          <w:sz w:val="22"/>
          <w:lang w:val="en-US"/>
        </w:rPr>
      </w:pPr>
      <w:r w:rsidRPr="008575A7">
        <w:rPr>
          <w:sz w:val="22"/>
          <w:szCs w:val="22"/>
          <w:lang w:eastAsia="zh-CN"/>
        </w:rPr>
        <w:t>The value of 20 MHz is derived using the formula in clause 4.3.3.1 of ETSI EN 301 489-1 where the value of n is one. For BS capable of multi-band operation, the total receiver exclusion band shall be the combination of the exclusion bands for each operating band supported by the BS.</w:t>
      </w:r>
      <w:r w:rsidRPr="008575A7">
        <w:rPr>
          <w:sz w:val="22"/>
          <w:szCs w:val="22"/>
          <w:lang w:eastAsia="zh-CN"/>
        </w:rPr>
        <w:t xml:space="preserve"> </w:t>
      </w:r>
    </w:p>
    <w:p w14:paraId="24425B07" w14:textId="4BF2622B" w:rsidR="00440D32" w:rsidRPr="008575A7" w:rsidRDefault="008575A7" w:rsidP="001C5ADC">
      <w:pPr>
        <w:pStyle w:val="ListParagraph"/>
        <w:numPr>
          <w:ilvl w:val="0"/>
          <w:numId w:val="39"/>
        </w:numPr>
        <w:ind w:firstLineChars="0"/>
        <w:jc w:val="both"/>
        <w:rPr>
          <w:sz w:val="22"/>
          <w:lang w:val="en-US"/>
        </w:rPr>
      </w:pPr>
      <w:r w:rsidRPr="008575A7">
        <w:rPr>
          <w:sz w:val="22"/>
          <w:szCs w:val="22"/>
          <w:lang w:eastAsia="zh-CN"/>
        </w:rPr>
        <w:t>ITU R recommendation considers important to adjust the definition of the Exclusion bands taking into account different frequency and technologies.</w:t>
      </w:r>
    </w:p>
    <w:p w14:paraId="10BA86EE" w14:textId="71EA91E7" w:rsidR="00CD43A3" w:rsidRDefault="00CD43A3" w:rsidP="00CD43A3">
      <w:pPr>
        <w:pStyle w:val="Heading1"/>
      </w:pPr>
      <w:r w:rsidRPr="008F3124">
        <w:t>References</w:t>
      </w:r>
    </w:p>
    <w:p w14:paraId="2D91ADEC" w14:textId="05B7410F" w:rsidR="00942B8A" w:rsidRPr="00942B8A" w:rsidRDefault="00942B8A" w:rsidP="00A25954">
      <w:pPr>
        <w:pStyle w:val="a"/>
        <w:numPr>
          <w:ilvl w:val="0"/>
          <w:numId w:val="0"/>
        </w:numPr>
        <w:ind w:left="360"/>
        <w:rPr>
          <w:lang w:eastAsia="zh-CN"/>
        </w:rPr>
      </w:pPr>
      <w:bookmarkStart w:id="7" w:name="_Hlk489447754"/>
    </w:p>
    <w:bookmarkEnd w:id="7"/>
    <w:p w14:paraId="4599934A" w14:textId="1A678E1F" w:rsidR="005E2F66" w:rsidRPr="004E505D" w:rsidRDefault="004E55DF" w:rsidP="000F5231">
      <w:pPr>
        <w:pStyle w:val="a"/>
      </w:pPr>
      <w:r>
        <w:rPr>
          <w:lang w:eastAsia="zh-CN"/>
        </w:rPr>
        <w:t>R4-</w:t>
      </w:r>
      <w:r w:rsidR="000F5231">
        <w:rPr>
          <w:lang w:eastAsia="zh-CN"/>
        </w:rPr>
        <w:t xml:space="preserve">1712725, </w:t>
      </w:r>
      <w:r w:rsidR="000F5231" w:rsidRPr="000F5231">
        <w:rPr>
          <w:lang w:eastAsia="zh-CN"/>
        </w:rPr>
        <w:t>TP to Section 4.4 in TS 38.113 (NR) Receiver exclusion bands (radiated immunity)</w:t>
      </w:r>
      <w:r w:rsidR="000F5231">
        <w:rPr>
          <w:lang w:eastAsia="zh-CN"/>
        </w:rPr>
        <w:t>, Ericsson. RAN4#85.</w:t>
      </w:r>
    </w:p>
    <w:p w14:paraId="5D2CF083" w14:textId="6AF28470" w:rsidR="009061A9" w:rsidRDefault="000F5231" w:rsidP="009061A9">
      <w:pPr>
        <w:pStyle w:val="a"/>
      </w:pPr>
      <w:r w:rsidRPr="000F5231">
        <w:t>Draft TS 38.113 3rd Generation Partnership Project; Technical Specification Group Radio Access Network; NR; Base Station (BS)  ElectroMagnetic Compatibility (EMC), v. 0.2.0</w:t>
      </w:r>
    </w:p>
    <w:p w14:paraId="131EA3F5" w14:textId="55DC9880" w:rsidR="009061A9" w:rsidRDefault="00A04436" w:rsidP="005A41D1">
      <w:pPr>
        <w:pStyle w:val="a"/>
      </w:pPr>
      <w:r>
        <w:t xml:space="preserve">IEC 61000-6-1, </w:t>
      </w:r>
      <w:r w:rsidR="009061A9">
        <w:t>Electromagnetic compatibility (EMC) - Part 6-1: Generic standards - Immunity for residential, commercial and light-industrial environments</w:t>
      </w:r>
    </w:p>
    <w:p w14:paraId="4846DAA6" w14:textId="76DD7E4D" w:rsidR="00C15D53" w:rsidRDefault="00C15D53" w:rsidP="00457766">
      <w:pPr>
        <w:pStyle w:val="a"/>
      </w:pPr>
      <w:r>
        <w:t>IEC 61000-6-3</w:t>
      </w:r>
      <w:r w:rsidR="00A04436">
        <w:t xml:space="preserve">, </w:t>
      </w:r>
      <w:r>
        <w:t>Electromagnetic compatibility (EMC) - Part 6-3: Generic standards - Emission standard for residential, commercial and light-industrial environments</w:t>
      </w:r>
    </w:p>
    <w:p w14:paraId="2A434CA8" w14:textId="4FB7B32C" w:rsidR="00A04436" w:rsidRDefault="00A04436" w:rsidP="00A04436">
      <w:pPr>
        <w:pStyle w:val="a"/>
      </w:pPr>
      <w:r>
        <w:t xml:space="preserve">3GPP </w:t>
      </w:r>
      <w:r w:rsidRPr="00A04436">
        <w:t>TS 37.113</w:t>
      </w:r>
      <w:r>
        <w:t xml:space="preserve">, </w:t>
      </w:r>
      <w:r w:rsidRPr="00A04436">
        <w:t>E-UTRA, UTRA and GSM/EDGE; Multi-Standard Radio (MSR) Base Station (BS) Electromagnetic Compatibility (EMC)</w:t>
      </w:r>
      <w:r>
        <w:t>.</w:t>
      </w:r>
    </w:p>
    <w:p w14:paraId="556174DA" w14:textId="4001A102" w:rsidR="00A04436" w:rsidRDefault="00A04436" w:rsidP="002713A9">
      <w:pPr>
        <w:pStyle w:val="a"/>
      </w:pPr>
      <w:r>
        <w:t xml:space="preserve">ETSI EN 301 489-50, </w:t>
      </w:r>
      <w:r>
        <w:t>ElectroMagnetic Compatibility (EMC)</w:t>
      </w:r>
      <w:r>
        <w:t xml:space="preserve"> </w:t>
      </w:r>
      <w:r>
        <w:t>standard for radio equipment and services;</w:t>
      </w:r>
      <w:r>
        <w:t xml:space="preserve"> </w:t>
      </w:r>
      <w:r>
        <w:t>Part 50: Specific conditions for Cellular Communication</w:t>
      </w:r>
      <w:r>
        <w:t xml:space="preserve"> </w:t>
      </w:r>
      <w:r>
        <w:t>Base Station (BS), repeater and ancillary equipment;</w:t>
      </w:r>
      <w:r>
        <w:t xml:space="preserve"> </w:t>
      </w:r>
      <w:r>
        <w:t>Harmonised Standard covering the essential requirements</w:t>
      </w:r>
      <w:r>
        <w:t xml:space="preserve"> </w:t>
      </w:r>
      <w:r>
        <w:t>of article 3.1(b) of the Directive 2014/53/EU</w:t>
      </w:r>
      <w:r>
        <w:t>.</w:t>
      </w:r>
    </w:p>
    <w:p w14:paraId="05C696B7" w14:textId="3F90D92B" w:rsidR="00A04436" w:rsidRDefault="00A04436" w:rsidP="00FD020C">
      <w:pPr>
        <w:pStyle w:val="a"/>
      </w:pPr>
      <w:r>
        <w:t>RECOMMENDATION ITU-R SM.1539-1</w:t>
      </w:r>
      <w:r>
        <w:t xml:space="preserve">, </w:t>
      </w:r>
      <w:r>
        <w:t>Variation of the boundary between the out-of-band and spurious domains</w:t>
      </w:r>
    </w:p>
    <w:p w14:paraId="198AA3A5" w14:textId="2D436535" w:rsidR="00A04436" w:rsidRPr="004E505D" w:rsidRDefault="00A04436" w:rsidP="003E7197">
      <w:pPr>
        <w:pStyle w:val="a"/>
      </w:pPr>
      <w:r>
        <w:t>required for the application of Recommendations ITU-R SM.1541</w:t>
      </w:r>
      <w:r>
        <w:t xml:space="preserve"> </w:t>
      </w:r>
      <w:r>
        <w:t>and ITU-R SM.329</w:t>
      </w:r>
    </w:p>
    <w:sectPr w:rsidR="00A04436" w:rsidRPr="004E505D" w:rsidSect="00492BD1">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3B5DF" w14:textId="77777777" w:rsidR="00DA3207" w:rsidRDefault="00DA3207">
      <w:r>
        <w:separator/>
      </w:r>
    </w:p>
  </w:endnote>
  <w:endnote w:type="continuationSeparator" w:id="0">
    <w:p w14:paraId="66C3A608" w14:textId="77777777" w:rsidR="00DA3207" w:rsidRDefault="00DA3207">
      <w:r>
        <w:continuationSeparator/>
      </w:r>
    </w:p>
  </w:endnote>
  <w:endnote w:type="continuationNotice" w:id="1">
    <w:p w14:paraId="05672750" w14:textId="77777777" w:rsidR="00DA3207" w:rsidRDefault="00DA32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Lath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Latha"/>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8AEE9" w14:textId="77777777" w:rsidR="00DA3207" w:rsidRDefault="00DA3207">
      <w:r>
        <w:separator/>
      </w:r>
    </w:p>
  </w:footnote>
  <w:footnote w:type="continuationSeparator" w:id="0">
    <w:p w14:paraId="18655D1A" w14:textId="77777777" w:rsidR="00DA3207" w:rsidRDefault="00DA3207">
      <w:r>
        <w:continuationSeparator/>
      </w:r>
    </w:p>
  </w:footnote>
  <w:footnote w:type="continuationNotice" w:id="1">
    <w:p w14:paraId="49B84D5E" w14:textId="77777777" w:rsidR="00DA3207" w:rsidRDefault="00DA32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214D42"/>
    <w:multiLevelType w:val="hybridMultilevel"/>
    <w:tmpl w:val="39B684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C26352"/>
    <w:multiLevelType w:val="hybridMultilevel"/>
    <w:tmpl w:val="3F0E4E28"/>
    <w:lvl w:ilvl="0" w:tplc="FFFFFFFF">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6"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2"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1B0C43"/>
    <w:multiLevelType w:val="hybridMultilevel"/>
    <w:tmpl w:val="1E9CCB6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1"/>
  </w:num>
  <w:num w:numId="3">
    <w:abstractNumId w:val="29"/>
  </w:num>
  <w:num w:numId="4">
    <w:abstractNumId w:val="15"/>
  </w:num>
  <w:num w:numId="5">
    <w:abstractNumId w:val="12"/>
  </w:num>
  <w:num w:numId="6">
    <w:abstractNumId w:val="21"/>
  </w:num>
  <w:num w:numId="7">
    <w:abstractNumId w:val="17"/>
  </w:num>
  <w:num w:numId="8">
    <w:abstractNumId w:val="9"/>
  </w:num>
  <w:num w:numId="9">
    <w:abstractNumId w:val="1"/>
  </w:num>
  <w:num w:numId="10">
    <w:abstractNumId w:val="22"/>
  </w:num>
  <w:num w:numId="11">
    <w:abstractNumId w:val="5"/>
  </w:num>
  <w:num w:numId="12">
    <w:abstractNumId w:val="19"/>
  </w:num>
  <w:num w:numId="13">
    <w:abstractNumId w:val="23"/>
  </w:num>
  <w:num w:numId="14">
    <w:abstractNumId w:val="14"/>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8"/>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0"/>
  </w:num>
  <w:num w:numId="27">
    <w:abstractNumId w:val="20"/>
  </w:num>
  <w:num w:numId="28">
    <w:abstractNumId w:val="16"/>
  </w:num>
  <w:num w:numId="29">
    <w:abstractNumId w:val="8"/>
  </w:num>
  <w:num w:numId="30">
    <w:abstractNumId w:val="4"/>
  </w:num>
  <w:num w:numId="31">
    <w:abstractNumId w:val="27"/>
  </w:num>
  <w:num w:numId="32">
    <w:abstractNumId w:val="28"/>
  </w:num>
  <w:num w:numId="33">
    <w:abstractNumId w:val="11"/>
  </w:num>
  <w:num w:numId="34">
    <w:abstractNumId w:val="26"/>
  </w:num>
  <w:num w:numId="35">
    <w:abstractNumId w:val="2"/>
  </w:num>
  <w:num w:numId="36">
    <w:abstractNumId w:val="13"/>
  </w:num>
  <w:num w:numId="37">
    <w:abstractNumId w:val="7"/>
  </w:num>
  <w:num w:numId="38">
    <w:abstractNumId w:val="25"/>
  </w:num>
  <w:num w:numId="39">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41C"/>
    <w:rsid w:val="000216E0"/>
    <w:rsid w:val="00022E4A"/>
    <w:rsid w:val="0002316D"/>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A54"/>
    <w:rsid w:val="00041FC8"/>
    <w:rsid w:val="000420B4"/>
    <w:rsid w:val="000423DF"/>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4DCB"/>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04"/>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0E18"/>
    <w:rsid w:val="000C13A8"/>
    <w:rsid w:val="000C18F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231"/>
    <w:rsid w:val="000F5F4F"/>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2FAB"/>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00F"/>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24"/>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B6C"/>
    <w:rsid w:val="00253DB0"/>
    <w:rsid w:val="00254A38"/>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9F2"/>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F7C"/>
    <w:rsid w:val="002922EA"/>
    <w:rsid w:val="0029233A"/>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1F0"/>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6CEE"/>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4C9"/>
    <w:rsid w:val="003E658A"/>
    <w:rsid w:val="003E72B2"/>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60F"/>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0E6E"/>
    <w:rsid w:val="004310C2"/>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1C54"/>
    <w:rsid w:val="00491D74"/>
    <w:rsid w:val="00492432"/>
    <w:rsid w:val="0049270D"/>
    <w:rsid w:val="0049275A"/>
    <w:rsid w:val="004927AC"/>
    <w:rsid w:val="00492AB0"/>
    <w:rsid w:val="00492BD1"/>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EDA"/>
    <w:rsid w:val="004A4F02"/>
    <w:rsid w:val="004A5630"/>
    <w:rsid w:val="004A5B3D"/>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D2A"/>
    <w:rsid w:val="004E6D85"/>
    <w:rsid w:val="004E7CD3"/>
    <w:rsid w:val="004E7E3D"/>
    <w:rsid w:val="004F0609"/>
    <w:rsid w:val="004F0980"/>
    <w:rsid w:val="004F0A3C"/>
    <w:rsid w:val="004F1135"/>
    <w:rsid w:val="004F1D0F"/>
    <w:rsid w:val="004F29D9"/>
    <w:rsid w:val="004F2AAE"/>
    <w:rsid w:val="004F2BE8"/>
    <w:rsid w:val="004F2F76"/>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A0A"/>
    <w:rsid w:val="00546DA9"/>
    <w:rsid w:val="00546EF7"/>
    <w:rsid w:val="005472E8"/>
    <w:rsid w:val="00547B91"/>
    <w:rsid w:val="00547EF7"/>
    <w:rsid w:val="005502A7"/>
    <w:rsid w:val="005502D2"/>
    <w:rsid w:val="00550502"/>
    <w:rsid w:val="00550700"/>
    <w:rsid w:val="0055118F"/>
    <w:rsid w:val="00551257"/>
    <w:rsid w:val="0055126A"/>
    <w:rsid w:val="00551389"/>
    <w:rsid w:val="00551D48"/>
    <w:rsid w:val="00551F93"/>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5F0C"/>
    <w:rsid w:val="005661D7"/>
    <w:rsid w:val="005674D6"/>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75E"/>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9B2"/>
    <w:rsid w:val="005E1D5C"/>
    <w:rsid w:val="005E1E7D"/>
    <w:rsid w:val="005E20AA"/>
    <w:rsid w:val="005E28F4"/>
    <w:rsid w:val="005E2C44"/>
    <w:rsid w:val="005E2DCA"/>
    <w:rsid w:val="005E2F66"/>
    <w:rsid w:val="005E36B1"/>
    <w:rsid w:val="005E370F"/>
    <w:rsid w:val="005E372F"/>
    <w:rsid w:val="005E3958"/>
    <w:rsid w:val="005E3B85"/>
    <w:rsid w:val="005E4087"/>
    <w:rsid w:val="005E4E14"/>
    <w:rsid w:val="005E5D00"/>
    <w:rsid w:val="005E5D18"/>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7CA"/>
    <w:rsid w:val="00620C28"/>
    <w:rsid w:val="00620F33"/>
    <w:rsid w:val="00621DA7"/>
    <w:rsid w:val="00622447"/>
    <w:rsid w:val="006225A2"/>
    <w:rsid w:val="00622763"/>
    <w:rsid w:val="00622930"/>
    <w:rsid w:val="006229E7"/>
    <w:rsid w:val="00623659"/>
    <w:rsid w:val="00623FB5"/>
    <w:rsid w:val="00624948"/>
    <w:rsid w:val="00624C2B"/>
    <w:rsid w:val="00624C69"/>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176"/>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1CF"/>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1D4"/>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2E0"/>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076"/>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2D6E"/>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2B60"/>
    <w:rsid w:val="0071327B"/>
    <w:rsid w:val="00713757"/>
    <w:rsid w:val="0071391C"/>
    <w:rsid w:val="007140D1"/>
    <w:rsid w:val="0071468C"/>
    <w:rsid w:val="00714FE2"/>
    <w:rsid w:val="00715255"/>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57C"/>
    <w:rsid w:val="0074390E"/>
    <w:rsid w:val="00743B4C"/>
    <w:rsid w:val="00743C95"/>
    <w:rsid w:val="00743D27"/>
    <w:rsid w:val="007441A0"/>
    <w:rsid w:val="00744512"/>
    <w:rsid w:val="00744647"/>
    <w:rsid w:val="00744942"/>
    <w:rsid w:val="00744A8D"/>
    <w:rsid w:val="00745699"/>
    <w:rsid w:val="00745B04"/>
    <w:rsid w:val="00745CFF"/>
    <w:rsid w:val="007463EE"/>
    <w:rsid w:val="007465C3"/>
    <w:rsid w:val="00746848"/>
    <w:rsid w:val="007468AB"/>
    <w:rsid w:val="00746FDC"/>
    <w:rsid w:val="0074732E"/>
    <w:rsid w:val="0074745B"/>
    <w:rsid w:val="0074770B"/>
    <w:rsid w:val="00747A93"/>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5D1"/>
    <w:rsid w:val="007C68F5"/>
    <w:rsid w:val="007C7664"/>
    <w:rsid w:val="007C77C4"/>
    <w:rsid w:val="007C7899"/>
    <w:rsid w:val="007C7AD2"/>
    <w:rsid w:val="007C7F6B"/>
    <w:rsid w:val="007D01BD"/>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33C"/>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4D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5A7"/>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772C4"/>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7AD"/>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0C1"/>
    <w:rsid w:val="008C3664"/>
    <w:rsid w:val="008C36C7"/>
    <w:rsid w:val="008C3875"/>
    <w:rsid w:val="008C4062"/>
    <w:rsid w:val="008C4553"/>
    <w:rsid w:val="008C491C"/>
    <w:rsid w:val="008C4EEE"/>
    <w:rsid w:val="008C5446"/>
    <w:rsid w:val="008C54C6"/>
    <w:rsid w:val="008C5544"/>
    <w:rsid w:val="008C57F1"/>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67BB"/>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0C95"/>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1A9"/>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386"/>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931"/>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36"/>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634"/>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B1E"/>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1E94"/>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75F"/>
    <w:rsid w:val="00B90598"/>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5D53"/>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404"/>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B39"/>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A79"/>
    <w:rsid w:val="00C92273"/>
    <w:rsid w:val="00C92702"/>
    <w:rsid w:val="00C92A30"/>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A83"/>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388"/>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3CE"/>
    <w:rsid w:val="00D405BE"/>
    <w:rsid w:val="00D40801"/>
    <w:rsid w:val="00D40885"/>
    <w:rsid w:val="00D40F97"/>
    <w:rsid w:val="00D415CE"/>
    <w:rsid w:val="00D41C8C"/>
    <w:rsid w:val="00D41F11"/>
    <w:rsid w:val="00D43021"/>
    <w:rsid w:val="00D437BD"/>
    <w:rsid w:val="00D43B13"/>
    <w:rsid w:val="00D44425"/>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A06B0"/>
    <w:rsid w:val="00DA0CD0"/>
    <w:rsid w:val="00DA0EBA"/>
    <w:rsid w:val="00DA12DB"/>
    <w:rsid w:val="00DA1A42"/>
    <w:rsid w:val="00DA20BA"/>
    <w:rsid w:val="00DA235A"/>
    <w:rsid w:val="00DA23BB"/>
    <w:rsid w:val="00DA28AD"/>
    <w:rsid w:val="00DA3207"/>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2AE"/>
    <w:rsid w:val="00DC6D8B"/>
    <w:rsid w:val="00DC73D4"/>
    <w:rsid w:val="00DD01E6"/>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648"/>
    <w:rsid w:val="00DD791C"/>
    <w:rsid w:val="00DE0175"/>
    <w:rsid w:val="00DE033D"/>
    <w:rsid w:val="00DE0A89"/>
    <w:rsid w:val="00DE1948"/>
    <w:rsid w:val="00DE1E99"/>
    <w:rsid w:val="00DE207E"/>
    <w:rsid w:val="00DE24DF"/>
    <w:rsid w:val="00DE24E5"/>
    <w:rsid w:val="00DE2514"/>
    <w:rsid w:val="00DE26DC"/>
    <w:rsid w:val="00DE2811"/>
    <w:rsid w:val="00DE33D1"/>
    <w:rsid w:val="00DE3B51"/>
    <w:rsid w:val="00DE3E03"/>
    <w:rsid w:val="00DE3F97"/>
    <w:rsid w:val="00DE40E6"/>
    <w:rsid w:val="00DE411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267"/>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373"/>
    <w:rsid w:val="00EE47AE"/>
    <w:rsid w:val="00EE4964"/>
    <w:rsid w:val="00EE4AC2"/>
    <w:rsid w:val="00EE4B54"/>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B79"/>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6D2"/>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073"/>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 w:val="4A2036DD"/>
    <w:rsid w:val="50E582E9"/>
    <w:rsid w:val="5E9081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7EEC6009"/>
  <w15:docId w15:val="{EE5AD112-904B-48B9-BBA7-F526405F6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uiPriority w:val="99"/>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uiPriority w:val="99"/>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44465795">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03857424">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776704092">
          <w:marLeft w:val="547"/>
          <w:marRight w:val="0"/>
          <w:marTop w:val="106"/>
          <w:marBottom w:val="0"/>
          <w:divBdr>
            <w:top w:val="none" w:sz="0" w:space="0" w:color="auto"/>
            <w:left w:val="none" w:sz="0" w:space="0" w:color="auto"/>
            <w:bottom w:val="none" w:sz="0" w:space="0" w:color="auto"/>
            <w:right w:val="none" w:sz="0" w:space="0" w:color="auto"/>
          </w:divBdr>
        </w:div>
        <w:div w:id="1628045641">
          <w:marLeft w:val="547"/>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418214421">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83963112">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B261D-4B27-44C3-AD36-0B756FAEB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6</Pages>
  <Words>2092</Words>
  <Characters>11091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mwx193114</dc:creator>
  <cp:lastModifiedBy>Luis Guillermo Martinez Ballesteros</cp:lastModifiedBy>
  <cp:revision>10</cp:revision>
  <cp:lastPrinted>2015-01-14T11:53:00Z</cp:lastPrinted>
  <dcterms:created xsi:type="dcterms:W3CDTF">2017-11-17T11:35:00Z</dcterms:created>
  <dcterms:modified xsi:type="dcterms:W3CDTF">2017-11-17T12:43:00Z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